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BE6D"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CATEGORICAL EXEMPTION</w:t>
      </w:r>
      <w:r w:rsidRPr="008A6012">
        <w:rPr>
          <w:rFonts w:ascii="Calibri" w:eastAsia="Times New Roman" w:hAnsi="Calibri" w:cs="Calibri"/>
          <w:kern w:val="0"/>
          <w:sz w:val="22"/>
          <w:szCs w:val="22"/>
          <w14:ligatures w14:val="none"/>
        </w:rPr>
        <w:br/>
      </w:r>
      <w:r w:rsidRPr="008A6012">
        <w:rPr>
          <w:rFonts w:ascii="Calibri" w:eastAsia="Times New Roman" w:hAnsi="Calibri" w:cs="Calibri"/>
          <w:b/>
          <w:bCs/>
          <w:kern w:val="0"/>
          <w:sz w:val="22"/>
          <w:szCs w:val="22"/>
          <w14:ligatures w14:val="none"/>
        </w:rPr>
        <w:t>California Environmental Quality Act (CEQA)</w:t>
      </w:r>
      <w:r w:rsidRPr="008A6012">
        <w:rPr>
          <w:rFonts w:ascii="Calibri" w:eastAsia="Times New Roman" w:hAnsi="Calibri" w:cs="Calibri"/>
          <w:kern w:val="0"/>
          <w:sz w:val="22"/>
          <w:szCs w:val="22"/>
          <w14:ligatures w14:val="none"/>
        </w:rPr>
        <w:br/>
      </w:r>
      <w:r w:rsidRPr="008A6012">
        <w:rPr>
          <w:rFonts w:ascii="Calibri" w:eastAsia="Times New Roman" w:hAnsi="Calibri" w:cs="Calibri"/>
          <w:b/>
          <w:bCs/>
          <w:kern w:val="0"/>
          <w:sz w:val="22"/>
          <w:szCs w:val="22"/>
          <w14:ligatures w14:val="none"/>
        </w:rPr>
        <w:t>Imperial Valley College – Measure B Phase 1 Construction Projects</w:t>
      </w:r>
      <w:r w:rsidRPr="008A6012">
        <w:rPr>
          <w:rFonts w:ascii="Calibri" w:eastAsia="Times New Roman" w:hAnsi="Calibri" w:cs="Calibri"/>
          <w:kern w:val="0"/>
          <w:sz w:val="22"/>
          <w:szCs w:val="22"/>
          <w14:ligatures w14:val="none"/>
        </w:rPr>
        <w:br/>
      </w:r>
      <w:r w:rsidRPr="008A6012">
        <w:rPr>
          <w:rFonts w:ascii="Calibri" w:eastAsia="Times New Roman" w:hAnsi="Calibri" w:cs="Calibri"/>
          <w:b/>
          <w:bCs/>
          <w:kern w:val="0"/>
          <w:sz w:val="22"/>
          <w:szCs w:val="22"/>
          <w14:ligatures w14:val="none"/>
        </w:rPr>
        <w:t>Imperial Valley College, Imperial, California</w:t>
      </w:r>
    </w:p>
    <w:p w14:paraId="12160ACE"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Lead Agency</w:t>
      </w:r>
    </w:p>
    <w:p w14:paraId="72A944F1"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Imperial Valley College</w:t>
      </w:r>
      <w:r w:rsidRPr="008A6012">
        <w:rPr>
          <w:rFonts w:ascii="Calibri" w:eastAsia="Times New Roman" w:hAnsi="Calibri" w:cs="Calibri"/>
          <w:kern w:val="0"/>
          <w:sz w:val="22"/>
          <w:szCs w:val="22"/>
          <w14:ligatures w14:val="none"/>
        </w:rPr>
        <w:br/>
        <w:t>380 East Aten Road</w:t>
      </w:r>
      <w:r w:rsidRPr="008A6012">
        <w:rPr>
          <w:rFonts w:ascii="Calibri" w:eastAsia="Times New Roman" w:hAnsi="Calibri" w:cs="Calibri"/>
          <w:kern w:val="0"/>
          <w:sz w:val="22"/>
          <w:szCs w:val="22"/>
          <w14:ligatures w14:val="none"/>
        </w:rPr>
        <w:br/>
        <w:t>Imperial, California 92251</w:t>
      </w:r>
    </w:p>
    <w:p w14:paraId="010D836B" w14:textId="77777777" w:rsidR="008A6012" w:rsidRPr="008A6012" w:rsidRDefault="008A6012" w:rsidP="008A6012">
      <w:pPr>
        <w:spacing w:before="100" w:beforeAutospacing="1" w:after="100" w:afterAutospacing="1"/>
        <w:outlineLvl w:val="1"/>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Project Title</w:t>
      </w:r>
    </w:p>
    <w:p w14:paraId="7E774E2C"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Imperial Valley College – Measure B Phase 1 Construction Projects</w:t>
      </w:r>
    </w:p>
    <w:p w14:paraId="6D7A33E9" w14:textId="77777777" w:rsidR="008A6012" w:rsidRPr="008A6012" w:rsidRDefault="008A6012" w:rsidP="008A6012">
      <w:pPr>
        <w:spacing w:before="100" w:beforeAutospacing="1" w:after="100" w:afterAutospacing="1"/>
        <w:outlineLvl w:val="1"/>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Project Location</w:t>
      </w:r>
    </w:p>
    <w:p w14:paraId="0426524E"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project is located within the existing campus boundaries of Imperial Valley College at 380 East Aten Road in the City of Imperial, Imperial County, California. All proposed improvements would occur on previously disturbed and developed areas within the established institutional campus footprint.</w:t>
      </w:r>
    </w:p>
    <w:p w14:paraId="4E31C106" w14:textId="77777777" w:rsidR="008A6012" w:rsidRPr="008A6012" w:rsidRDefault="008A6012" w:rsidP="008A6012">
      <w:pPr>
        <w:spacing w:before="100" w:beforeAutospacing="1" w:after="100" w:afterAutospacing="1"/>
        <w:outlineLvl w:val="1"/>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Project Description</w:t>
      </w:r>
    </w:p>
    <w:p w14:paraId="65C6EB41"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Measure B Phase 1 Projects consist of the construction of new instructional, operational, and student support facilities and associated site improvements within the existing Imperial Valley College campus. The projects are funded through the District’s Measure B general obligation bond program and are intended to modernize campus infrastructure, enhance public safety training capacity, improve operational efficiency, and centralize student services.</w:t>
      </w:r>
    </w:p>
    <w:p w14:paraId="1B3C01EB"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Portions of the Public Safety Regional Training Center and the Maintenance &amp; Operations (M&amp;O) Facility will be constructed on the existing Agriculture Department field within the campus. The Student Services Center will replace the existing Bookstore (Building 500) and Student Affairs Building (Building 1000) within the campus core.</w:t>
      </w:r>
    </w:p>
    <w:p w14:paraId="68225E06"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1. Public Safety Regional Training Center</w:t>
      </w:r>
    </w:p>
    <w:p w14:paraId="097DFB3A"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Construction of a new regional training facility including:</w:t>
      </w:r>
    </w:p>
    <w:p w14:paraId="411B9AE4" w14:textId="77777777" w:rsidR="008A6012" w:rsidRPr="008A6012" w:rsidRDefault="008A6012" w:rsidP="008A6012">
      <w:pPr>
        <w:numPr>
          <w:ilvl w:val="0"/>
          <w:numId w:val="1"/>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One-story, 35,531-square-foot classroom building (maximum height 24 feet)</w:t>
      </w:r>
    </w:p>
    <w:p w14:paraId="5B11E6DB" w14:textId="77777777" w:rsidR="008A6012" w:rsidRPr="008A6012" w:rsidRDefault="008A6012" w:rsidP="008A6012">
      <w:pPr>
        <w:numPr>
          <w:ilvl w:val="0"/>
          <w:numId w:val="1"/>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One-story, 5,000-square-foot storage building (maximum height 20 feet)</w:t>
      </w:r>
    </w:p>
    <w:p w14:paraId="58D24B14" w14:textId="77777777" w:rsidR="008A6012" w:rsidRPr="008A6012" w:rsidRDefault="008A6012" w:rsidP="008A6012">
      <w:pPr>
        <w:numPr>
          <w:ilvl w:val="0"/>
          <w:numId w:val="1"/>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Four-story burn tower training structure (maximum height 43 feet 6 inches; approximately 1,071-square-foot footprint)</w:t>
      </w:r>
    </w:p>
    <w:p w14:paraId="16973135" w14:textId="77777777" w:rsidR="008A6012" w:rsidRPr="008A6012" w:rsidRDefault="008A6012" w:rsidP="008A6012">
      <w:pPr>
        <w:numPr>
          <w:ilvl w:val="0"/>
          <w:numId w:val="1"/>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Steel-framed hose tower (maximum height 44 feet 6 inches; approximately 216-square-foot footprint)</w:t>
      </w:r>
    </w:p>
    <w:p w14:paraId="41478A28" w14:textId="77777777" w:rsidR="008A6012" w:rsidRPr="008A6012" w:rsidRDefault="008A6012" w:rsidP="008A6012">
      <w:pPr>
        <w:numPr>
          <w:ilvl w:val="0"/>
          <w:numId w:val="1"/>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Approximately 100 parking spaces with solar shade canopies, ADA-compliant spaces, circulation aisles, landscaping, lighting (up to 33 feet in height), and stormwater improvements</w:t>
      </w:r>
    </w:p>
    <w:p w14:paraId="708BFA71"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lastRenderedPageBreak/>
        <w:t>2. Maintenance &amp; Operations Facility</w:t>
      </w:r>
    </w:p>
    <w:p w14:paraId="4513C00E"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Construction of consolidated campus maintenance facilities including:</w:t>
      </w:r>
    </w:p>
    <w:p w14:paraId="21BBAE6E" w14:textId="77777777" w:rsidR="008A6012" w:rsidRPr="008A6012" w:rsidRDefault="008A6012" w:rsidP="008A6012">
      <w:pPr>
        <w:numPr>
          <w:ilvl w:val="0"/>
          <w:numId w:val="2"/>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One-story, 9,000-square-foot maintenance building (maximum height 29 feet)</w:t>
      </w:r>
    </w:p>
    <w:p w14:paraId="381F8788" w14:textId="77777777" w:rsidR="008A6012" w:rsidRPr="008A6012" w:rsidRDefault="008A6012" w:rsidP="008A6012">
      <w:pPr>
        <w:numPr>
          <w:ilvl w:val="0"/>
          <w:numId w:val="2"/>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One-story, 5,400-square-foot operations building (maximum height 24 feet)</w:t>
      </w:r>
    </w:p>
    <w:p w14:paraId="2C9F3085" w14:textId="77777777" w:rsidR="008A6012" w:rsidRPr="008A6012" w:rsidRDefault="008A6012" w:rsidP="008A6012">
      <w:pPr>
        <w:numPr>
          <w:ilvl w:val="0"/>
          <w:numId w:val="2"/>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One-story, 5,000-square-foot storage building (maximum height 28 feet)</w:t>
      </w:r>
    </w:p>
    <w:p w14:paraId="7215160F" w14:textId="77777777" w:rsidR="008A6012" w:rsidRPr="008A6012" w:rsidRDefault="008A6012" w:rsidP="008A6012">
      <w:pPr>
        <w:numPr>
          <w:ilvl w:val="0"/>
          <w:numId w:val="2"/>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Approximately 30 parking spaces with solar shade canopies, accessible parking, circulation paving, landscaping, and drainage improvements</w:t>
      </w:r>
    </w:p>
    <w:p w14:paraId="2DFC430C" w14:textId="77777777" w:rsidR="008A6012" w:rsidRPr="008A6012" w:rsidRDefault="008A6012" w:rsidP="008A6012">
      <w:pPr>
        <w:numPr>
          <w:ilvl w:val="0"/>
          <w:numId w:val="2"/>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70-foot-tall freestanding communications tower supporting campus operational systems</w:t>
      </w:r>
    </w:p>
    <w:p w14:paraId="41A4F81A"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3. Student Services Center (Replacement Project)</w:t>
      </w:r>
    </w:p>
    <w:p w14:paraId="70CEE7FE"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Demolition of the existing Bookstore (Building 500) and Student Affairs Building (Building 1000), followed by construction of:</w:t>
      </w:r>
    </w:p>
    <w:p w14:paraId="4CA6E05A" w14:textId="77777777" w:rsidR="008A6012" w:rsidRPr="008A6012" w:rsidRDefault="008A6012" w:rsidP="008A6012">
      <w:pPr>
        <w:numPr>
          <w:ilvl w:val="0"/>
          <w:numId w:val="3"/>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Two-story, approximately 22,000-square-foot footprint office building (maximum height 36 feet) to accommodate admissions and records, counseling, financial aid, student affairs, administrative offices, conference rooms, and related support services</w:t>
      </w:r>
    </w:p>
    <w:p w14:paraId="38F9B7E2"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No new parking is proposed for this component; existing campus parking facilities will be utilized. Associated improvements may include pedestrian pathways, landscaping, lighting upgrades, and utility connections within the developed campus core.</w:t>
      </w:r>
    </w:p>
    <w:p w14:paraId="5F10351D"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Site Development and Infrastructure Improvements</w:t>
      </w:r>
    </w:p>
    <w:p w14:paraId="0BD2757A"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Improvements include grading, utility installation and relocation (water, sewer, storm drain, electrical, telecommunications), fire access improvements, exterior lighting, landscaping, irrigation systems, and stormwater management facilities. All work will occur within previously disturbed or developed areas designated for institutional use.</w:t>
      </w:r>
    </w:p>
    <w:p w14:paraId="23F177EE" w14:textId="77777777" w:rsidR="008A6012" w:rsidRPr="008A6012" w:rsidRDefault="008A6012" w:rsidP="008A6012">
      <w:pPr>
        <w:spacing w:before="100" w:beforeAutospacing="1" w:after="100" w:afterAutospacing="1"/>
        <w:outlineLvl w:val="1"/>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CEQA Exemption Determination</w:t>
      </w:r>
    </w:p>
    <w:p w14:paraId="01929831"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project is categorically exempt from the California Environmental Quality Act (CEQA) pursuant to the following sections of the CEQA Guidelines (California Code of Regulations, Title 14, Chapter 3):</w:t>
      </w:r>
    </w:p>
    <w:p w14:paraId="6FE54226"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Class 14 – Minor Additions to Schools (Section 15314)</w:t>
      </w:r>
    </w:p>
    <w:p w14:paraId="4927AE68"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Class 14 consists of minor additions within existing school grounds where the addition does not increase original student capacity by more than 25 percent or ten classrooms, whichever is less, and includes the construction or installation of portable or permanent classrooms, administration buildings, parking lots, and related facilities.</w:t>
      </w:r>
    </w:p>
    <w:p w14:paraId="125AA1E1"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 xml:space="preserve">The Measure B Phase 1 Projects involve the construction of instructional and administrative facilities, parking areas, and operational support buildings within the boundaries of an existing community college campus. The improvements are consistent with the existing institutional use of the site and do not </w:t>
      </w:r>
      <w:r w:rsidRPr="008A6012">
        <w:rPr>
          <w:rFonts w:ascii="Calibri" w:eastAsia="Times New Roman" w:hAnsi="Calibri" w:cs="Calibri"/>
          <w:kern w:val="0"/>
          <w:sz w:val="22"/>
          <w:szCs w:val="22"/>
          <w14:ligatures w14:val="none"/>
        </w:rPr>
        <w:lastRenderedPageBreak/>
        <w:t>involve expansion beyond campus boundaries. The facilities support existing and planned educational programs consistent with the College’s Facilities Master Plan.</w:t>
      </w:r>
    </w:p>
    <w:p w14:paraId="3A00DCE7"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Class 3 – New Construction or Conversion of Small Structures (Section 15303)</w:t>
      </w:r>
    </w:p>
    <w:p w14:paraId="4E274B2E"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Class 3 includes construction of limited numbers of new, small facilities or structures. Certain project elements, including storage buildings, maintenance structures, and accessory facilities such as parking lots and communications infrastructure, qualify under this exemption.</w:t>
      </w:r>
    </w:p>
    <w:p w14:paraId="547C0591" w14:textId="77777777" w:rsidR="008A6012" w:rsidRPr="008A6012" w:rsidRDefault="008A6012" w:rsidP="008A6012">
      <w:pPr>
        <w:spacing w:before="100" w:beforeAutospacing="1" w:after="100" w:afterAutospacing="1"/>
        <w:outlineLvl w:val="2"/>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Class 2 – Replacement or Reconstruction (Section 15302)</w:t>
      </w:r>
    </w:p>
    <w:p w14:paraId="34EE6E0F"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Class 2 consists of replacement or reconstruction of existing structures and facilities where the new structure will be located on the same site and will have substantially the same purpose and capacity.</w:t>
      </w:r>
    </w:p>
    <w:p w14:paraId="3A00FBE2"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Student Services Center component qualifies under this exemption because it replaces the existing Bookstore and Student Affairs buildings with a modern facility serving substantially the same administrative and student support functions within the same developed campus area.</w:t>
      </w:r>
    </w:p>
    <w:p w14:paraId="52CBDD0D"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Exceptions to Categorical Exemptions (Section 15300.2)</w:t>
      </w:r>
    </w:p>
    <w:p w14:paraId="71EC0E4A"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proposed project has been evaluated for potential exceptions to categorical exemptions under CEQA Guidelines Section 15300.2 and none apply:</w:t>
      </w:r>
    </w:p>
    <w:p w14:paraId="07ED3388"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Location:</w:t>
      </w:r>
      <w:r w:rsidRPr="008A6012">
        <w:rPr>
          <w:rFonts w:ascii="Calibri" w:eastAsia="Times New Roman" w:hAnsi="Calibri" w:cs="Calibri"/>
          <w:kern w:val="0"/>
          <w:sz w:val="22"/>
          <w:szCs w:val="22"/>
          <w14:ligatures w14:val="none"/>
        </w:rPr>
        <w:t xml:space="preserve"> The project site is within a fully developed institutional campus and is not located in a particularly sensitive environment.</w:t>
      </w:r>
    </w:p>
    <w:p w14:paraId="31DEAB9E"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Cumulative Impact:</w:t>
      </w:r>
      <w:r w:rsidRPr="008A6012">
        <w:rPr>
          <w:rFonts w:ascii="Calibri" w:eastAsia="Times New Roman" w:hAnsi="Calibri" w:cs="Calibri"/>
          <w:kern w:val="0"/>
          <w:sz w:val="22"/>
          <w:szCs w:val="22"/>
          <w14:ligatures w14:val="none"/>
        </w:rPr>
        <w:t xml:space="preserve"> The project will not result in significant cumulative environmental impacts.</w:t>
      </w:r>
    </w:p>
    <w:p w14:paraId="466AA39D"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Significant Effect:</w:t>
      </w:r>
      <w:r w:rsidRPr="008A6012">
        <w:rPr>
          <w:rFonts w:ascii="Calibri" w:eastAsia="Times New Roman" w:hAnsi="Calibri" w:cs="Calibri"/>
          <w:kern w:val="0"/>
          <w:sz w:val="22"/>
          <w:szCs w:val="22"/>
          <w14:ligatures w14:val="none"/>
        </w:rPr>
        <w:t xml:space="preserve"> There is no reasonable possibility that the project will have a significant effect on the environment due to unusual circumstances.</w:t>
      </w:r>
    </w:p>
    <w:p w14:paraId="0413A85D"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Scenic Highways:</w:t>
      </w:r>
      <w:r w:rsidRPr="008A6012">
        <w:rPr>
          <w:rFonts w:ascii="Calibri" w:eastAsia="Times New Roman" w:hAnsi="Calibri" w:cs="Calibri"/>
          <w:kern w:val="0"/>
          <w:sz w:val="22"/>
          <w:szCs w:val="22"/>
          <w14:ligatures w14:val="none"/>
        </w:rPr>
        <w:t xml:space="preserve"> The site is not within a designated state scenic highway corridor.</w:t>
      </w:r>
    </w:p>
    <w:p w14:paraId="012EA199"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Hazardous Waste Sites:</w:t>
      </w:r>
      <w:r w:rsidRPr="008A6012">
        <w:rPr>
          <w:rFonts w:ascii="Calibri" w:eastAsia="Times New Roman" w:hAnsi="Calibri" w:cs="Calibri"/>
          <w:kern w:val="0"/>
          <w:sz w:val="22"/>
          <w:szCs w:val="22"/>
          <w14:ligatures w14:val="none"/>
        </w:rPr>
        <w:t xml:space="preserve"> The project site is not listed pursuant to Government Code Section 65962.5.</w:t>
      </w:r>
    </w:p>
    <w:p w14:paraId="74FA2BB1" w14:textId="77777777" w:rsidR="008A6012" w:rsidRPr="008A6012" w:rsidRDefault="008A6012" w:rsidP="008A6012">
      <w:pPr>
        <w:numPr>
          <w:ilvl w:val="0"/>
          <w:numId w:val="4"/>
        </w:num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b/>
          <w:bCs/>
          <w:kern w:val="0"/>
          <w:sz w:val="22"/>
          <w:szCs w:val="22"/>
          <w14:ligatures w14:val="none"/>
        </w:rPr>
        <w:t>Historical Resources:</w:t>
      </w:r>
      <w:r w:rsidRPr="008A6012">
        <w:rPr>
          <w:rFonts w:ascii="Calibri" w:eastAsia="Times New Roman" w:hAnsi="Calibri" w:cs="Calibri"/>
          <w:kern w:val="0"/>
          <w:sz w:val="22"/>
          <w:szCs w:val="22"/>
          <w14:ligatures w14:val="none"/>
        </w:rPr>
        <w:t xml:space="preserve"> The buildings proposed for demolition are not known to be historical resources pursuant to CEQA.</w:t>
      </w:r>
    </w:p>
    <w:p w14:paraId="3C6B1F96" w14:textId="77777777" w:rsidR="008A6012" w:rsidRPr="008A6012" w:rsidRDefault="008A6012" w:rsidP="008A6012">
      <w:pPr>
        <w:spacing w:before="100" w:beforeAutospacing="1" w:after="100" w:afterAutospacing="1"/>
        <w:outlineLvl w:val="1"/>
        <w:rPr>
          <w:rFonts w:ascii="Calibri" w:eastAsia="Times New Roman" w:hAnsi="Calibri" w:cs="Calibri"/>
          <w:b/>
          <w:bCs/>
          <w:kern w:val="0"/>
          <w:sz w:val="22"/>
          <w:szCs w:val="22"/>
          <w14:ligatures w14:val="none"/>
        </w:rPr>
      </w:pPr>
      <w:r w:rsidRPr="008A6012">
        <w:rPr>
          <w:rFonts w:ascii="Calibri" w:eastAsia="Times New Roman" w:hAnsi="Calibri" w:cs="Calibri"/>
          <w:b/>
          <w:bCs/>
          <w:kern w:val="0"/>
          <w:sz w:val="22"/>
          <w:szCs w:val="22"/>
          <w14:ligatures w14:val="none"/>
        </w:rPr>
        <w:t>Conclusion</w:t>
      </w:r>
    </w:p>
    <w:p w14:paraId="74A78D4A"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The Imperial Valley College Measure B Phase 1 Construction Projects consist of improvements within an existing developed community college campus, including new instructional, operational, and administrative facilities and replacement of outdated buildings. The project supports institutional uses consistent with campus planning documents and applicable regulations.</w:t>
      </w:r>
    </w:p>
    <w:p w14:paraId="5AE43AE1" w14:textId="77777777" w:rsidR="008A6012" w:rsidRPr="008A6012" w:rsidRDefault="008A6012" w:rsidP="008A6012">
      <w:pPr>
        <w:spacing w:before="100" w:beforeAutospacing="1" w:after="100" w:afterAutospacing="1"/>
        <w:rPr>
          <w:rFonts w:ascii="Calibri" w:eastAsia="Times New Roman" w:hAnsi="Calibri" w:cs="Calibri"/>
          <w:kern w:val="0"/>
          <w:sz w:val="22"/>
          <w:szCs w:val="22"/>
          <w14:ligatures w14:val="none"/>
        </w:rPr>
      </w:pPr>
      <w:r w:rsidRPr="008A6012">
        <w:rPr>
          <w:rFonts w:ascii="Calibri" w:eastAsia="Times New Roman" w:hAnsi="Calibri" w:cs="Calibri"/>
          <w:kern w:val="0"/>
          <w:sz w:val="22"/>
          <w:szCs w:val="22"/>
          <w14:ligatures w14:val="none"/>
        </w:rPr>
        <w:t>Based on the foregoing, the project qualifies for categorical exemptions under CEQA Guidelines Sections 15314, 15303, and 15302, and none of the exceptions under Section 15300.2 apply. Therefore, the project is exempt from further environmental review under CEQA.</w:t>
      </w:r>
    </w:p>
    <w:p w14:paraId="2E4BCB7F" w14:textId="77777777" w:rsidR="002D6667" w:rsidRPr="008A6012" w:rsidRDefault="002D6667">
      <w:pPr>
        <w:rPr>
          <w:rFonts w:ascii="Calibri" w:hAnsi="Calibri" w:cs="Calibri"/>
          <w:sz w:val="22"/>
          <w:szCs w:val="22"/>
        </w:rPr>
      </w:pPr>
    </w:p>
    <w:sectPr w:rsidR="002D6667" w:rsidRPr="008A60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ECB24" w14:textId="77777777" w:rsidR="006A3D10" w:rsidRDefault="006A3D10" w:rsidP="008A6012">
      <w:r>
        <w:separator/>
      </w:r>
    </w:p>
  </w:endnote>
  <w:endnote w:type="continuationSeparator" w:id="0">
    <w:p w14:paraId="32758D85" w14:textId="77777777" w:rsidR="006A3D10" w:rsidRDefault="006A3D10" w:rsidP="008A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3FF84" w14:textId="77777777" w:rsidR="006A3D10" w:rsidRDefault="006A3D10" w:rsidP="008A6012">
      <w:r>
        <w:separator/>
      </w:r>
    </w:p>
  </w:footnote>
  <w:footnote w:type="continuationSeparator" w:id="0">
    <w:p w14:paraId="0A491BE6" w14:textId="77777777" w:rsidR="006A3D10" w:rsidRDefault="006A3D10" w:rsidP="008A6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D94A" w14:textId="157A67EE" w:rsidR="008A6012" w:rsidRPr="008A6012" w:rsidRDefault="008A6012">
    <w:pPr>
      <w:pStyle w:val="Header"/>
      <w:rPr>
        <w:sz w:val="56"/>
        <w:szCs w:val="56"/>
      </w:rPr>
    </w:pPr>
    <w:r w:rsidRPr="008A6012">
      <w:rPr>
        <w:sz w:val="56"/>
        <w:szCs w:val="56"/>
      </w:rPr>
      <w:t>DRAFT</w:t>
    </w:r>
  </w:p>
  <w:p w14:paraId="1A33C72C" w14:textId="77777777" w:rsidR="008A6012" w:rsidRDefault="008A6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F44C5"/>
    <w:multiLevelType w:val="multilevel"/>
    <w:tmpl w:val="F9F83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025223"/>
    <w:multiLevelType w:val="multilevel"/>
    <w:tmpl w:val="906AC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ED189C"/>
    <w:multiLevelType w:val="multilevel"/>
    <w:tmpl w:val="84AC3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CA4445"/>
    <w:multiLevelType w:val="multilevel"/>
    <w:tmpl w:val="776CC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12629595">
    <w:abstractNumId w:val="3"/>
  </w:num>
  <w:num w:numId="2" w16cid:durableId="2108960966">
    <w:abstractNumId w:val="2"/>
  </w:num>
  <w:num w:numId="3" w16cid:durableId="2058240419">
    <w:abstractNumId w:val="0"/>
  </w:num>
  <w:num w:numId="4" w16cid:durableId="986544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12"/>
    <w:rsid w:val="002D6667"/>
    <w:rsid w:val="003017C2"/>
    <w:rsid w:val="00426354"/>
    <w:rsid w:val="0048416C"/>
    <w:rsid w:val="00631C46"/>
    <w:rsid w:val="006A3D10"/>
    <w:rsid w:val="00886028"/>
    <w:rsid w:val="008A56B5"/>
    <w:rsid w:val="008A6012"/>
    <w:rsid w:val="00AE4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3B47C"/>
  <w15:chartTrackingRefBased/>
  <w15:docId w15:val="{C1E3ABD8-63FB-455C-8016-9E0FBE8C1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012"/>
    <w:pPr>
      <w:spacing w:after="0" w:line="240" w:lineRule="auto"/>
    </w:pPr>
  </w:style>
  <w:style w:type="paragraph" w:styleId="Heading1">
    <w:name w:val="heading 1"/>
    <w:basedOn w:val="Normal"/>
    <w:next w:val="Normal"/>
    <w:link w:val="Heading1Char"/>
    <w:uiPriority w:val="9"/>
    <w:qFormat/>
    <w:rsid w:val="008A6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0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0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0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0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0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0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0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0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0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0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0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0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0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0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0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012"/>
    <w:rPr>
      <w:rFonts w:eastAsiaTheme="majorEastAsia" w:cstheme="majorBidi"/>
      <w:color w:val="272727" w:themeColor="text1" w:themeTint="D8"/>
    </w:rPr>
  </w:style>
  <w:style w:type="paragraph" w:styleId="Title">
    <w:name w:val="Title"/>
    <w:basedOn w:val="Normal"/>
    <w:next w:val="Normal"/>
    <w:link w:val="TitleChar"/>
    <w:uiPriority w:val="10"/>
    <w:qFormat/>
    <w:rsid w:val="008A60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0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0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0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012"/>
    <w:pPr>
      <w:spacing w:before="160"/>
      <w:jc w:val="center"/>
    </w:pPr>
    <w:rPr>
      <w:i/>
      <w:iCs/>
      <w:color w:val="404040" w:themeColor="text1" w:themeTint="BF"/>
    </w:rPr>
  </w:style>
  <w:style w:type="character" w:customStyle="1" w:styleId="QuoteChar">
    <w:name w:val="Quote Char"/>
    <w:basedOn w:val="DefaultParagraphFont"/>
    <w:link w:val="Quote"/>
    <w:uiPriority w:val="29"/>
    <w:rsid w:val="008A6012"/>
    <w:rPr>
      <w:i/>
      <w:iCs/>
      <w:color w:val="404040" w:themeColor="text1" w:themeTint="BF"/>
    </w:rPr>
  </w:style>
  <w:style w:type="paragraph" w:styleId="ListParagraph">
    <w:name w:val="List Paragraph"/>
    <w:basedOn w:val="Normal"/>
    <w:uiPriority w:val="34"/>
    <w:qFormat/>
    <w:rsid w:val="008A6012"/>
    <w:pPr>
      <w:ind w:left="720"/>
      <w:contextualSpacing/>
    </w:pPr>
  </w:style>
  <w:style w:type="character" w:styleId="IntenseEmphasis">
    <w:name w:val="Intense Emphasis"/>
    <w:basedOn w:val="DefaultParagraphFont"/>
    <w:uiPriority w:val="21"/>
    <w:qFormat/>
    <w:rsid w:val="008A6012"/>
    <w:rPr>
      <w:i/>
      <w:iCs/>
      <w:color w:val="0F4761" w:themeColor="accent1" w:themeShade="BF"/>
    </w:rPr>
  </w:style>
  <w:style w:type="paragraph" w:styleId="IntenseQuote">
    <w:name w:val="Intense Quote"/>
    <w:basedOn w:val="Normal"/>
    <w:next w:val="Normal"/>
    <w:link w:val="IntenseQuoteChar"/>
    <w:uiPriority w:val="30"/>
    <w:qFormat/>
    <w:rsid w:val="008A6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012"/>
    <w:rPr>
      <w:i/>
      <w:iCs/>
      <w:color w:val="0F4761" w:themeColor="accent1" w:themeShade="BF"/>
    </w:rPr>
  </w:style>
  <w:style w:type="character" w:styleId="IntenseReference">
    <w:name w:val="Intense Reference"/>
    <w:basedOn w:val="DefaultParagraphFont"/>
    <w:uiPriority w:val="32"/>
    <w:qFormat/>
    <w:rsid w:val="008A6012"/>
    <w:rPr>
      <w:b/>
      <w:bCs/>
      <w:smallCaps/>
      <w:color w:val="0F4761" w:themeColor="accent1" w:themeShade="BF"/>
      <w:spacing w:val="5"/>
    </w:rPr>
  </w:style>
  <w:style w:type="paragraph" w:styleId="Header">
    <w:name w:val="header"/>
    <w:basedOn w:val="Normal"/>
    <w:link w:val="HeaderChar"/>
    <w:uiPriority w:val="99"/>
    <w:unhideWhenUsed/>
    <w:rsid w:val="008A6012"/>
    <w:pPr>
      <w:tabs>
        <w:tab w:val="center" w:pos="4680"/>
        <w:tab w:val="right" w:pos="9360"/>
      </w:tabs>
    </w:pPr>
  </w:style>
  <w:style w:type="character" w:customStyle="1" w:styleId="HeaderChar">
    <w:name w:val="Header Char"/>
    <w:basedOn w:val="DefaultParagraphFont"/>
    <w:link w:val="Header"/>
    <w:uiPriority w:val="99"/>
    <w:rsid w:val="008A6012"/>
  </w:style>
  <w:style w:type="paragraph" w:styleId="Footer">
    <w:name w:val="footer"/>
    <w:basedOn w:val="Normal"/>
    <w:link w:val="FooterChar"/>
    <w:uiPriority w:val="99"/>
    <w:unhideWhenUsed/>
    <w:rsid w:val="008A6012"/>
    <w:pPr>
      <w:tabs>
        <w:tab w:val="center" w:pos="4680"/>
        <w:tab w:val="right" w:pos="9360"/>
      </w:tabs>
    </w:pPr>
  </w:style>
  <w:style w:type="character" w:customStyle="1" w:styleId="FooterChar">
    <w:name w:val="Footer Char"/>
    <w:basedOn w:val="DefaultParagraphFont"/>
    <w:link w:val="Footer"/>
    <w:uiPriority w:val="99"/>
    <w:rsid w:val="008A6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950</Words>
  <Characters>6311</Characters>
  <Application>Microsoft Office Word</Application>
  <DocSecurity>4</DocSecurity>
  <Lines>100</Lines>
  <Paragraphs>51</Paragraphs>
  <ScaleCrop>false</ScaleCrop>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Dominguez</dc:creator>
  <cp:keywords/>
  <dc:description/>
  <cp:lastModifiedBy>John Dominguez</cp:lastModifiedBy>
  <cp:revision>2</cp:revision>
  <dcterms:created xsi:type="dcterms:W3CDTF">2026-03-24T19:27:00Z</dcterms:created>
  <dcterms:modified xsi:type="dcterms:W3CDTF">2026-03-24T19:27:00Z</dcterms:modified>
</cp:coreProperties>
</file>