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A6DDA" w14:textId="77777777" w:rsidR="00907D3C" w:rsidRDefault="00907D3C">
      <w:pPr>
        <w:pStyle w:val="Default"/>
      </w:pPr>
    </w:p>
    <w:p w14:paraId="2915065C" w14:textId="77777777" w:rsidR="00907D3C" w:rsidRPr="00AE1B83" w:rsidRDefault="00907D3C">
      <w:pPr>
        <w:pStyle w:val="Default"/>
      </w:pPr>
      <w:r w:rsidRPr="00AE1B83">
        <w:t xml:space="preserve"> </w:t>
      </w:r>
    </w:p>
    <w:p w14:paraId="2562117E" w14:textId="4C20C30D" w:rsidR="00907D3C" w:rsidRPr="004E4DC1" w:rsidRDefault="003E20A3">
      <w:pPr>
        <w:pStyle w:val="Pa0"/>
        <w:jc w:val="right"/>
        <w:rPr>
          <w:rFonts w:cs="Exotic 35 0 BT"/>
          <w:color w:val="003563"/>
          <w:sz w:val="20"/>
          <w:szCs w:val="20"/>
        </w:rPr>
      </w:pPr>
      <w:r w:rsidRPr="004E4DC1">
        <w:rPr>
          <w:noProof/>
        </w:rPr>
        <w:drawing>
          <wp:anchor distT="0" distB="0" distL="114300" distR="114300" simplePos="0" relativeHeight="251659776" behindDoc="0" locked="0" layoutInCell="1" allowOverlap="1" wp14:anchorId="2A9EBB7C" wp14:editId="268B57E5">
            <wp:simplePos x="0" y="0"/>
            <wp:positionH relativeFrom="column">
              <wp:posOffset>0</wp:posOffset>
            </wp:positionH>
            <wp:positionV relativeFrom="paragraph">
              <wp:posOffset>153670</wp:posOffset>
            </wp:positionV>
            <wp:extent cx="2235200" cy="67754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5200" cy="67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0A5654" w:rsidRPr="004E4DC1">
        <w:rPr>
          <w:noProof/>
        </w:rPr>
        <w:drawing>
          <wp:anchor distT="0" distB="0" distL="114300" distR="114300" simplePos="0" relativeHeight="251657728" behindDoc="0" locked="0" layoutInCell="1" allowOverlap="1" wp14:anchorId="15D5E4E9" wp14:editId="49BB8CA5">
            <wp:simplePos x="0" y="0"/>
            <wp:positionH relativeFrom="column">
              <wp:posOffset>-2689225</wp:posOffset>
            </wp:positionH>
            <wp:positionV relativeFrom="paragraph">
              <wp:posOffset>6985</wp:posOffset>
            </wp:positionV>
            <wp:extent cx="2235200" cy="6775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5200" cy="67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EB0699" w:rsidRPr="004E4DC1">
        <w:rPr>
          <w:rStyle w:val="A0"/>
          <w:rFonts w:cs="Exotic 35 0 BT"/>
          <w:szCs w:val="20"/>
        </w:rPr>
        <w:t>326 Huss Drive</w:t>
      </w:r>
    </w:p>
    <w:p w14:paraId="3E45D9B4" w14:textId="77777777" w:rsidR="00907D3C" w:rsidRPr="004E4DC1" w:rsidRDefault="00907D3C">
      <w:pPr>
        <w:pStyle w:val="Pa0"/>
        <w:jc w:val="right"/>
        <w:rPr>
          <w:rFonts w:cs="Exotic 35 0 BT"/>
          <w:color w:val="003563"/>
          <w:sz w:val="20"/>
          <w:szCs w:val="20"/>
        </w:rPr>
      </w:pPr>
      <w:r w:rsidRPr="004E4DC1">
        <w:rPr>
          <w:rStyle w:val="A0"/>
          <w:rFonts w:cs="Exotic 35 0 BT"/>
          <w:szCs w:val="20"/>
        </w:rPr>
        <w:t>Chico, California 95928-8441</w:t>
      </w:r>
    </w:p>
    <w:p w14:paraId="18BD9A72" w14:textId="72299C93" w:rsidR="00907D3C" w:rsidRPr="004E4DC1" w:rsidRDefault="00907D3C">
      <w:pPr>
        <w:pStyle w:val="Pa0"/>
        <w:jc w:val="right"/>
        <w:rPr>
          <w:rFonts w:cs="Exotic 35 0 BT"/>
          <w:color w:val="003563"/>
          <w:sz w:val="20"/>
          <w:szCs w:val="20"/>
        </w:rPr>
      </w:pPr>
      <w:r w:rsidRPr="004E4DC1">
        <w:rPr>
          <w:rStyle w:val="A0"/>
          <w:rFonts w:cs="Exotic 35 0 BT"/>
          <w:szCs w:val="20"/>
        </w:rPr>
        <w:t xml:space="preserve">(530) </w:t>
      </w:r>
      <w:r w:rsidR="00EB0699" w:rsidRPr="004E4DC1">
        <w:rPr>
          <w:rStyle w:val="A0"/>
          <w:rFonts w:cs="Exotic 35 0 BT"/>
          <w:szCs w:val="20"/>
        </w:rPr>
        <w:t>809</w:t>
      </w:r>
      <w:r w:rsidRPr="004E4DC1">
        <w:rPr>
          <w:rStyle w:val="A0"/>
          <w:rFonts w:cs="Exotic 35 0 BT"/>
          <w:szCs w:val="20"/>
        </w:rPr>
        <w:t>-</w:t>
      </w:r>
      <w:r w:rsidR="00EB0699" w:rsidRPr="004E4DC1">
        <w:rPr>
          <w:rStyle w:val="A0"/>
          <w:rFonts w:cs="Exotic 35 0 BT"/>
          <w:szCs w:val="20"/>
        </w:rPr>
        <w:t xml:space="preserve">4616 </w:t>
      </w:r>
      <w:r w:rsidRPr="004E4DC1">
        <w:rPr>
          <w:rStyle w:val="A0"/>
          <w:rFonts w:cs="Exotic 35 0 BT"/>
          <w:szCs w:val="20"/>
        </w:rPr>
        <w:t>FAX (530) 879-2444</w:t>
      </w:r>
    </w:p>
    <w:p w14:paraId="3CDAC8E7" w14:textId="77777777" w:rsidR="003F0827" w:rsidRPr="004E4DC1" w:rsidRDefault="003F0827" w:rsidP="003F0827">
      <w:pPr>
        <w:pStyle w:val="Pa0"/>
        <w:jc w:val="right"/>
        <w:rPr>
          <w:rStyle w:val="A0"/>
          <w:rFonts w:cs="Exotic 35 0 BT"/>
          <w:szCs w:val="20"/>
        </w:rPr>
      </w:pPr>
    </w:p>
    <w:p w14:paraId="305A1651" w14:textId="77777777" w:rsidR="003F0827" w:rsidRPr="00E338CC" w:rsidRDefault="003F0827" w:rsidP="003F0827">
      <w:pPr>
        <w:pStyle w:val="Pa0"/>
        <w:jc w:val="right"/>
        <w:rPr>
          <w:rStyle w:val="A0"/>
          <w:rFonts w:cs="Exotic 35 0 BT"/>
          <w:szCs w:val="20"/>
          <w:highlight w:val="yellow"/>
        </w:rPr>
      </w:pPr>
    </w:p>
    <w:p w14:paraId="0B16F772" w14:textId="767F58CF" w:rsidR="00072970" w:rsidRPr="00E338CC" w:rsidRDefault="00072970" w:rsidP="00072970">
      <w:pPr>
        <w:pStyle w:val="Default"/>
        <w:rPr>
          <w:highlight w:val="yellow"/>
        </w:rPr>
      </w:pPr>
    </w:p>
    <w:p w14:paraId="0E7EFC82" w14:textId="77777777" w:rsidR="003E20A3" w:rsidRPr="00E338CC" w:rsidRDefault="003E20A3" w:rsidP="00072970">
      <w:pPr>
        <w:pStyle w:val="Default"/>
        <w:rPr>
          <w:highlight w:val="yellow"/>
        </w:rPr>
      </w:pPr>
    </w:p>
    <w:p w14:paraId="1D5B9EDF" w14:textId="77777777" w:rsidR="00F945BB" w:rsidRPr="00A14180" w:rsidRDefault="00F945BB" w:rsidP="00697D52">
      <w:pPr>
        <w:tabs>
          <w:tab w:val="left" w:pos="5047"/>
        </w:tabs>
        <w:ind w:left="180"/>
        <w:rPr>
          <w:rFonts w:ascii="Arial" w:hAnsi="Arial" w:cs="Arial"/>
          <w:b/>
          <w:sz w:val="22"/>
          <w:szCs w:val="22"/>
          <w:u w:val="single"/>
        </w:rPr>
      </w:pPr>
    </w:p>
    <w:p w14:paraId="3C8A75A2" w14:textId="77777777" w:rsidR="00072970" w:rsidRPr="00A14180" w:rsidRDefault="00072970" w:rsidP="0042365B">
      <w:pPr>
        <w:tabs>
          <w:tab w:val="left" w:pos="5047"/>
        </w:tabs>
        <w:ind w:left="180"/>
        <w:jc w:val="both"/>
        <w:rPr>
          <w:rFonts w:ascii="Arial" w:hAnsi="Arial" w:cs="Arial"/>
          <w:b/>
          <w:sz w:val="22"/>
          <w:szCs w:val="22"/>
          <w:u w:val="single"/>
        </w:rPr>
      </w:pPr>
      <w:r w:rsidRPr="00A14180">
        <w:rPr>
          <w:rFonts w:ascii="Arial" w:hAnsi="Arial" w:cs="Arial"/>
          <w:b/>
          <w:sz w:val="22"/>
          <w:szCs w:val="22"/>
          <w:u w:val="single"/>
        </w:rPr>
        <w:t>Project Description</w:t>
      </w:r>
    </w:p>
    <w:p w14:paraId="3F823B5F" w14:textId="77777777" w:rsidR="00B3572C" w:rsidRPr="00A14180" w:rsidRDefault="00B3572C" w:rsidP="0042365B">
      <w:pPr>
        <w:tabs>
          <w:tab w:val="left" w:pos="0"/>
        </w:tabs>
        <w:jc w:val="both"/>
        <w:rPr>
          <w:rFonts w:ascii="Arial" w:hAnsi="Arial" w:cs="Arial"/>
          <w:sz w:val="22"/>
          <w:szCs w:val="22"/>
        </w:rPr>
      </w:pPr>
    </w:p>
    <w:p w14:paraId="002A2933" w14:textId="216C83EC" w:rsidR="00B3572C" w:rsidRPr="00A14180" w:rsidRDefault="00B3572C" w:rsidP="0042365B">
      <w:pPr>
        <w:tabs>
          <w:tab w:val="left" w:pos="0"/>
        </w:tabs>
        <w:ind w:left="180"/>
        <w:jc w:val="both"/>
        <w:rPr>
          <w:rFonts w:ascii="Arial" w:hAnsi="Arial" w:cs="Arial"/>
          <w:b/>
          <w:sz w:val="22"/>
          <w:szCs w:val="22"/>
        </w:rPr>
      </w:pPr>
      <w:r w:rsidRPr="00A14180">
        <w:rPr>
          <w:rFonts w:ascii="Arial" w:hAnsi="Arial" w:cs="Arial"/>
          <w:b/>
          <w:sz w:val="22"/>
          <w:szCs w:val="22"/>
        </w:rPr>
        <w:t>Regional Transportation Plan</w:t>
      </w:r>
    </w:p>
    <w:p w14:paraId="04CE883F" w14:textId="44863A89" w:rsidR="00F247EC" w:rsidRPr="00A14180" w:rsidRDefault="00CE6B29" w:rsidP="0042365B">
      <w:pPr>
        <w:tabs>
          <w:tab w:val="left" w:pos="0"/>
        </w:tabs>
        <w:ind w:left="180"/>
        <w:jc w:val="both"/>
        <w:rPr>
          <w:rFonts w:ascii="Arial" w:hAnsi="Arial" w:cs="Arial"/>
          <w:sz w:val="22"/>
          <w:szCs w:val="22"/>
        </w:rPr>
      </w:pPr>
      <w:r w:rsidRPr="00A14180">
        <w:rPr>
          <w:rFonts w:ascii="Arial" w:hAnsi="Arial" w:cs="Arial"/>
          <w:sz w:val="22"/>
          <w:szCs w:val="22"/>
        </w:rPr>
        <w:t>The proposed project is the Butte County 202</w:t>
      </w:r>
      <w:r w:rsidR="00A14180" w:rsidRPr="00A14180">
        <w:rPr>
          <w:rFonts w:ascii="Arial" w:hAnsi="Arial" w:cs="Arial"/>
          <w:sz w:val="22"/>
          <w:szCs w:val="22"/>
        </w:rPr>
        <w:t>4</w:t>
      </w:r>
      <w:r w:rsidRPr="00A14180">
        <w:rPr>
          <w:rFonts w:ascii="Arial" w:hAnsi="Arial" w:cs="Arial"/>
          <w:sz w:val="22"/>
          <w:szCs w:val="22"/>
        </w:rPr>
        <w:t xml:space="preserve"> </w:t>
      </w:r>
      <w:r w:rsidR="00E9218B" w:rsidRPr="00A14180">
        <w:rPr>
          <w:rFonts w:ascii="Arial" w:hAnsi="Arial" w:cs="Arial"/>
          <w:sz w:val="22"/>
          <w:szCs w:val="22"/>
        </w:rPr>
        <w:t>RTP-SCS</w:t>
      </w:r>
      <w:r w:rsidR="00043944" w:rsidRPr="00A14180">
        <w:rPr>
          <w:rFonts w:ascii="Arial" w:hAnsi="Arial" w:cs="Arial"/>
          <w:sz w:val="22"/>
          <w:szCs w:val="22"/>
        </w:rPr>
        <w:t>, which updates BC</w:t>
      </w:r>
      <w:r w:rsidR="00E64CAC" w:rsidRPr="00A14180">
        <w:rPr>
          <w:rFonts w:ascii="Arial" w:hAnsi="Arial" w:cs="Arial"/>
          <w:sz w:val="22"/>
          <w:szCs w:val="22"/>
        </w:rPr>
        <w:t>AG</w:t>
      </w:r>
      <w:r w:rsidR="00043944" w:rsidRPr="00A14180">
        <w:rPr>
          <w:rFonts w:ascii="Arial" w:hAnsi="Arial" w:cs="Arial"/>
          <w:sz w:val="22"/>
          <w:szCs w:val="22"/>
        </w:rPr>
        <w:t>’s previous 20</w:t>
      </w:r>
      <w:r w:rsidR="00A14180" w:rsidRPr="00A14180">
        <w:rPr>
          <w:rFonts w:ascii="Arial" w:hAnsi="Arial" w:cs="Arial"/>
          <w:sz w:val="22"/>
          <w:szCs w:val="22"/>
        </w:rPr>
        <w:t>20</w:t>
      </w:r>
      <w:r w:rsidR="00043944" w:rsidRPr="00A14180">
        <w:rPr>
          <w:rFonts w:ascii="Arial" w:hAnsi="Arial" w:cs="Arial"/>
          <w:sz w:val="22"/>
          <w:szCs w:val="22"/>
        </w:rPr>
        <w:t xml:space="preserve"> RTP adopted in December </w:t>
      </w:r>
      <w:r w:rsidR="00A14180" w:rsidRPr="00A14180">
        <w:rPr>
          <w:rFonts w:ascii="Arial" w:hAnsi="Arial" w:cs="Arial"/>
          <w:sz w:val="22"/>
          <w:szCs w:val="22"/>
        </w:rPr>
        <w:t>2020</w:t>
      </w:r>
      <w:r w:rsidR="00043944" w:rsidRPr="00A14180">
        <w:rPr>
          <w:rFonts w:ascii="Arial" w:hAnsi="Arial" w:cs="Arial"/>
          <w:sz w:val="22"/>
          <w:szCs w:val="22"/>
        </w:rPr>
        <w:t xml:space="preserve">. </w:t>
      </w:r>
      <w:r w:rsidR="00F247EC" w:rsidRPr="00A14180">
        <w:rPr>
          <w:rFonts w:ascii="Arial" w:hAnsi="Arial" w:cs="Arial"/>
          <w:sz w:val="22"/>
          <w:szCs w:val="22"/>
        </w:rPr>
        <w:t xml:space="preserve">BCAG, as both the </w:t>
      </w:r>
      <w:proofErr w:type="gramStart"/>
      <w:r w:rsidR="00F247EC" w:rsidRPr="00A14180">
        <w:rPr>
          <w:rFonts w:ascii="Arial" w:hAnsi="Arial" w:cs="Arial"/>
          <w:sz w:val="22"/>
          <w:szCs w:val="22"/>
        </w:rPr>
        <w:t>federally-designated</w:t>
      </w:r>
      <w:proofErr w:type="gramEnd"/>
      <w:r w:rsidR="00F247EC" w:rsidRPr="00A14180">
        <w:rPr>
          <w:rFonts w:ascii="Arial" w:hAnsi="Arial" w:cs="Arial"/>
          <w:sz w:val="22"/>
          <w:szCs w:val="22"/>
        </w:rPr>
        <w:t xml:space="preserve"> metropolitan planning organization (MPO) and the State-designated regional transportation planning agency (RTPA) for Butte County, is required by both federal and State law to prepare a long-range (at least 20-year) transportation planning document known as a Regional Transportation Plan (RTP). The RTP is an action-oriented document used to achieve a coordinated and balanced regional transportation system. </w:t>
      </w:r>
    </w:p>
    <w:p w14:paraId="024D8C24" w14:textId="77777777" w:rsidR="00F247EC" w:rsidRPr="00A14180" w:rsidRDefault="00F247EC" w:rsidP="0042365B">
      <w:pPr>
        <w:tabs>
          <w:tab w:val="left" w:pos="0"/>
        </w:tabs>
        <w:ind w:left="180"/>
        <w:jc w:val="both"/>
        <w:rPr>
          <w:rFonts w:ascii="Arial" w:hAnsi="Arial" w:cs="Arial"/>
          <w:sz w:val="22"/>
          <w:szCs w:val="22"/>
        </w:rPr>
      </w:pPr>
    </w:p>
    <w:p w14:paraId="72DD959B" w14:textId="08933584" w:rsidR="00B3572C" w:rsidRPr="00A14180" w:rsidRDefault="00B3572C" w:rsidP="0042365B">
      <w:pPr>
        <w:tabs>
          <w:tab w:val="left" w:pos="0"/>
        </w:tabs>
        <w:ind w:left="180"/>
        <w:jc w:val="both"/>
        <w:rPr>
          <w:rFonts w:ascii="Arial" w:hAnsi="Arial" w:cs="Arial"/>
          <w:b/>
          <w:sz w:val="22"/>
          <w:szCs w:val="22"/>
        </w:rPr>
      </w:pPr>
      <w:r w:rsidRPr="00A14180">
        <w:rPr>
          <w:rFonts w:ascii="Arial" w:hAnsi="Arial" w:cs="Arial"/>
          <w:b/>
          <w:sz w:val="22"/>
          <w:szCs w:val="22"/>
        </w:rPr>
        <w:t>Sustainable Communities Strategy</w:t>
      </w:r>
    </w:p>
    <w:p w14:paraId="7405FDD8" w14:textId="5B8972D2" w:rsidR="00F247EC" w:rsidRPr="00A14180" w:rsidRDefault="00F247EC" w:rsidP="0042365B">
      <w:pPr>
        <w:tabs>
          <w:tab w:val="left" w:pos="0"/>
        </w:tabs>
        <w:ind w:left="180"/>
        <w:jc w:val="both"/>
        <w:rPr>
          <w:rFonts w:ascii="Arial" w:hAnsi="Arial" w:cs="Arial"/>
          <w:sz w:val="22"/>
          <w:szCs w:val="22"/>
        </w:rPr>
      </w:pPr>
      <w:r w:rsidRPr="00A14180">
        <w:rPr>
          <w:rFonts w:ascii="Arial" w:hAnsi="Arial" w:cs="Arial"/>
          <w:sz w:val="22"/>
          <w:szCs w:val="22"/>
        </w:rPr>
        <w:t>BCAG has the responsibility to prepare a SCS as part of the RTP, pursuant to the requirements of California Senate Bill 375 as adopted in 2008.</w:t>
      </w:r>
      <w:r w:rsidR="00B3572C" w:rsidRPr="00A14180">
        <w:rPr>
          <w:rFonts w:ascii="Arial" w:hAnsi="Arial" w:cs="Arial"/>
          <w:sz w:val="22"/>
          <w:szCs w:val="22"/>
        </w:rPr>
        <w:t xml:space="preserve"> </w:t>
      </w:r>
      <w:r w:rsidRPr="00A14180">
        <w:rPr>
          <w:rFonts w:ascii="Arial" w:hAnsi="Arial" w:cs="Arial"/>
          <w:sz w:val="22"/>
          <w:szCs w:val="22"/>
        </w:rPr>
        <w:t>The SCS sets forth a forecasted development pattern for the region, which, when integrated with the transportation network and other transportation measures and policies, is intended to reduce greenhouse gas (GHG) emissions from passenger vehicles and light trucks to achieve the regional GHG reduction targets set by the California Air Resources Board (ARB).</w:t>
      </w:r>
      <w:r w:rsidR="006040DE" w:rsidRPr="00A14180">
        <w:rPr>
          <w:rFonts w:ascii="Arial" w:hAnsi="Arial" w:cs="Arial"/>
          <w:sz w:val="22"/>
          <w:szCs w:val="22"/>
        </w:rPr>
        <w:t xml:space="preserve"> </w:t>
      </w:r>
      <w:r w:rsidR="00B3572C" w:rsidRPr="00A14180">
        <w:rPr>
          <w:rFonts w:ascii="Arial" w:hAnsi="Arial" w:cs="Arial"/>
          <w:sz w:val="22"/>
          <w:szCs w:val="22"/>
        </w:rPr>
        <w:t xml:space="preserve">In 2010, the California ARB set GHG reduction targets for the BCAG region from on-road light-duty trucks and passenger vehicles as a 1% increase from 2005 emissions levels by 2020 and a 1% increase from 2005 emissions levels by 2035. The reduction targets </w:t>
      </w:r>
      <w:r w:rsidR="000B6450" w:rsidRPr="00A14180">
        <w:rPr>
          <w:rFonts w:ascii="Arial" w:hAnsi="Arial" w:cs="Arial"/>
          <w:sz w:val="22"/>
          <w:szCs w:val="22"/>
        </w:rPr>
        <w:t>were re-evaluated and approved by the California ARB in 2018</w:t>
      </w:r>
      <w:r w:rsidR="00B3572C" w:rsidRPr="00A14180">
        <w:rPr>
          <w:rFonts w:ascii="Arial" w:hAnsi="Arial" w:cs="Arial"/>
          <w:sz w:val="22"/>
          <w:szCs w:val="22"/>
        </w:rPr>
        <w:t xml:space="preserve">. </w:t>
      </w:r>
      <w:r w:rsidR="00A14180">
        <w:rPr>
          <w:rFonts w:ascii="Arial" w:hAnsi="Arial" w:cs="Arial"/>
          <w:sz w:val="22"/>
          <w:szCs w:val="22"/>
        </w:rPr>
        <w:t>I</w:t>
      </w:r>
      <w:r w:rsidR="00A14180" w:rsidRPr="00A14180">
        <w:rPr>
          <w:rFonts w:ascii="Arial" w:hAnsi="Arial" w:cs="Arial"/>
          <w:sz w:val="22"/>
          <w:szCs w:val="22"/>
        </w:rPr>
        <w:t>n 2018, ARB updated the BCAG targets as a 6</w:t>
      </w:r>
      <w:r w:rsidR="00A14180">
        <w:rPr>
          <w:rFonts w:ascii="Arial" w:hAnsi="Arial" w:cs="Arial"/>
          <w:sz w:val="22"/>
          <w:szCs w:val="22"/>
        </w:rPr>
        <w:t xml:space="preserve">% </w:t>
      </w:r>
      <w:r w:rsidR="00A14180" w:rsidRPr="00A14180">
        <w:rPr>
          <w:rFonts w:ascii="Arial" w:hAnsi="Arial" w:cs="Arial"/>
          <w:sz w:val="22"/>
          <w:szCs w:val="22"/>
        </w:rPr>
        <w:t>decrease from 2005 emissions levels by 2020 and 7</w:t>
      </w:r>
      <w:r w:rsidR="00A14180">
        <w:rPr>
          <w:rFonts w:ascii="Arial" w:hAnsi="Arial" w:cs="Arial"/>
          <w:sz w:val="22"/>
          <w:szCs w:val="22"/>
        </w:rPr>
        <w:t xml:space="preserve">% </w:t>
      </w:r>
      <w:r w:rsidR="00A14180" w:rsidRPr="00A14180">
        <w:rPr>
          <w:rFonts w:ascii="Arial" w:hAnsi="Arial" w:cs="Arial"/>
          <w:sz w:val="22"/>
          <w:szCs w:val="22"/>
        </w:rPr>
        <w:t>decrease from 2005 emissions levels by 2035. BCAG’s 2020 RTP</w:t>
      </w:r>
      <w:r w:rsidR="009A55F2">
        <w:rPr>
          <w:rFonts w:ascii="Arial" w:hAnsi="Arial" w:cs="Arial"/>
          <w:sz w:val="22"/>
          <w:szCs w:val="22"/>
        </w:rPr>
        <w:t>-</w:t>
      </w:r>
      <w:r w:rsidR="00A14180" w:rsidRPr="00A14180">
        <w:rPr>
          <w:rFonts w:ascii="Arial" w:hAnsi="Arial" w:cs="Arial"/>
          <w:sz w:val="22"/>
          <w:szCs w:val="22"/>
        </w:rPr>
        <w:t xml:space="preserve">SCS demonstrated a 14% reduction in per capita GHG emissions for the year 2020 and an 8% reduction for 2035. </w:t>
      </w:r>
      <w:r w:rsidR="00B3572C" w:rsidRPr="00A14180">
        <w:rPr>
          <w:rFonts w:ascii="Arial" w:hAnsi="Arial" w:cs="Arial"/>
          <w:sz w:val="22"/>
          <w:szCs w:val="22"/>
        </w:rPr>
        <w:t xml:space="preserve">These targets apply to the BCAG region </w:t>
      </w:r>
      <w:proofErr w:type="gramStart"/>
      <w:r w:rsidR="00B3572C" w:rsidRPr="00A14180">
        <w:rPr>
          <w:rFonts w:ascii="Arial" w:hAnsi="Arial" w:cs="Arial"/>
          <w:sz w:val="22"/>
          <w:szCs w:val="22"/>
        </w:rPr>
        <w:t>as a whole for</w:t>
      </w:r>
      <w:proofErr w:type="gramEnd"/>
      <w:r w:rsidR="00B3572C" w:rsidRPr="00A14180">
        <w:rPr>
          <w:rFonts w:ascii="Arial" w:hAnsi="Arial" w:cs="Arial"/>
          <w:sz w:val="22"/>
          <w:szCs w:val="22"/>
        </w:rPr>
        <w:t xml:space="preserve"> all on-road light-duty trucks and passenger vehicles emissions, and not to individual cities or sub-regions. </w:t>
      </w:r>
      <w:r w:rsidR="006040DE" w:rsidRPr="00A14180">
        <w:rPr>
          <w:rFonts w:ascii="Arial" w:hAnsi="Arial" w:cs="Arial"/>
          <w:sz w:val="22"/>
          <w:szCs w:val="22"/>
        </w:rPr>
        <w:t>BCAG is required to prepare a SCS that demonstrates how GHG reduction targets will be met through integrated land use, housing, and transportation planning. Thus</w:t>
      </w:r>
      <w:r w:rsidR="0055794A">
        <w:rPr>
          <w:rFonts w:ascii="Arial" w:hAnsi="Arial" w:cs="Arial"/>
          <w:sz w:val="22"/>
          <w:szCs w:val="22"/>
        </w:rPr>
        <w:t>,</w:t>
      </w:r>
      <w:r w:rsidR="006040DE" w:rsidRPr="00A14180">
        <w:rPr>
          <w:rFonts w:ascii="Arial" w:hAnsi="Arial" w:cs="Arial"/>
          <w:sz w:val="22"/>
          <w:szCs w:val="22"/>
        </w:rPr>
        <w:t xml:space="preserve"> the RTP-SCS will address both the transportation component of the RTP, as well as the land use component of the SCS.</w:t>
      </w:r>
    </w:p>
    <w:p w14:paraId="34161624" w14:textId="77777777" w:rsidR="006040DE" w:rsidRPr="00A14180" w:rsidRDefault="006040DE" w:rsidP="0042365B">
      <w:pPr>
        <w:tabs>
          <w:tab w:val="left" w:pos="0"/>
        </w:tabs>
        <w:ind w:left="180"/>
        <w:jc w:val="both"/>
        <w:rPr>
          <w:rFonts w:ascii="Arial" w:hAnsi="Arial" w:cs="Arial"/>
          <w:sz w:val="22"/>
          <w:szCs w:val="22"/>
        </w:rPr>
      </w:pPr>
    </w:p>
    <w:p w14:paraId="4E5C3F04" w14:textId="6C806F09" w:rsidR="006040DE" w:rsidRPr="00A14180" w:rsidRDefault="006040DE" w:rsidP="0042365B">
      <w:pPr>
        <w:tabs>
          <w:tab w:val="left" w:pos="0"/>
        </w:tabs>
        <w:ind w:left="180"/>
        <w:jc w:val="both"/>
        <w:rPr>
          <w:rFonts w:ascii="Arial" w:hAnsi="Arial" w:cs="Arial"/>
          <w:sz w:val="22"/>
          <w:szCs w:val="22"/>
        </w:rPr>
      </w:pPr>
      <w:r w:rsidRPr="00A14180">
        <w:rPr>
          <w:rFonts w:ascii="Arial" w:hAnsi="Arial" w:cs="Arial"/>
          <w:sz w:val="22"/>
          <w:szCs w:val="22"/>
        </w:rPr>
        <w:t>SB 375 specifically states that local governments retain their autonomy to plan local General Plan policies and land uses. The RTP-</w:t>
      </w:r>
      <w:proofErr w:type="gramStart"/>
      <w:r w:rsidRPr="00A14180">
        <w:rPr>
          <w:rFonts w:ascii="Arial" w:hAnsi="Arial" w:cs="Arial"/>
          <w:sz w:val="22"/>
          <w:szCs w:val="22"/>
        </w:rPr>
        <w:t>SCS rather</w:t>
      </w:r>
      <w:proofErr w:type="gramEnd"/>
      <w:r w:rsidRPr="00A14180">
        <w:rPr>
          <w:rFonts w:ascii="Arial" w:hAnsi="Arial" w:cs="Arial"/>
          <w:sz w:val="22"/>
          <w:szCs w:val="22"/>
        </w:rPr>
        <w:t xml:space="preserve"> is intended to provide a regional policy foundation that local governments may build </w:t>
      </w:r>
      <w:proofErr w:type="gramStart"/>
      <w:r w:rsidRPr="00A14180">
        <w:rPr>
          <w:rFonts w:ascii="Arial" w:hAnsi="Arial" w:cs="Arial"/>
          <w:sz w:val="22"/>
          <w:szCs w:val="22"/>
        </w:rPr>
        <w:t>upon, if</w:t>
      </w:r>
      <w:proofErr w:type="gramEnd"/>
      <w:r w:rsidRPr="00A14180">
        <w:rPr>
          <w:rFonts w:ascii="Arial" w:hAnsi="Arial" w:cs="Arial"/>
          <w:sz w:val="22"/>
          <w:szCs w:val="22"/>
        </w:rPr>
        <w:t xml:space="preserve"> they so choose. </w:t>
      </w:r>
      <w:r w:rsidR="00B3572C" w:rsidRPr="00A14180">
        <w:rPr>
          <w:rFonts w:ascii="Arial" w:hAnsi="Arial" w:cs="Arial"/>
          <w:sz w:val="22"/>
          <w:szCs w:val="22"/>
        </w:rPr>
        <w:t>T</w:t>
      </w:r>
      <w:r w:rsidRPr="00A14180">
        <w:rPr>
          <w:rFonts w:ascii="Arial" w:hAnsi="Arial" w:cs="Arial"/>
          <w:sz w:val="22"/>
          <w:szCs w:val="22"/>
        </w:rPr>
        <w:t>he RTP-SCS does not propose to change any land use and zoning designations; rather, the land use scenario envisioned by the RTP-SCS is based on and would be consistent with the existing local General Plan policies and land use designations as specified by the local agencies. As such, the RTP-SCS includes and accommodates the quantitative growth projections for the region based on the buildout of the local General Plans. SB 375 also requires that the RTP-SCS’s forecasted development pattern for the region be consistent with the eight-year regional housing needs as allocated to member jurisdictions through the Regional Housing Needs Allocation (RHNA) process under State housing law.</w:t>
      </w:r>
      <w:r w:rsidR="00B3572C" w:rsidRPr="00A14180">
        <w:rPr>
          <w:rFonts w:ascii="Arial" w:hAnsi="Arial" w:cs="Arial"/>
          <w:sz w:val="22"/>
          <w:szCs w:val="22"/>
        </w:rPr>
        <w:t xml:space="preserve"> </w:t>
      </w:r>
    </w:p>
    <w:p w14:paraId="7BDAB882" w14:textId="77777777" w:rsidR="00B3572C" w:rsidRPr="00E338CC" w:rsidRDefault="00B3572C" w:rsidP="0042365B">
      <w:pPr>
        <w:tabs>
          <w:tab w:val="left" w:pos="0"/>
        </w:tabs>
        <w:ind w:left="180"/>
        <w:jc w:val="both"/>
        <w:rPr>
          <w:rFonts w:ascii="Arial" w:hAnsi="Arial" w:cs="Arial"/>
          <w:sz w:val="22"/>
          <w:szCs w:val="22"/>
          <w:highlight w:val="yellow"/>
        </w:rPr>
      </w:pPr>
    </w:p>
    <w:p w14:paraId="51492254" w14:textId="4EF77E22" w:rsidR="00B3572C" w:rsidRPr="00A14180" w:rsidRDefault="00B3572C" w:rsidP="0042365B">
      <w:pPr>
        <w:tabs>
          <w:tab w:val="left" w:pos="0"/>
        </w:tabs>
        <w:ind w:left="180"/>
        <w:jc w:val="both"/>
        <w:rPr>
          <w:rFonts w:ascii="Arial" w:hAnsi="Arial" w:cs="Arial"/>
          <w:b/>
          <w:sz w:val="22"/>
          <w:szCs w:val="22"/>
        </w:rPr>
      </w:pPr>
      <w:r w:rsidRPr="00A14180">
        <w:rPr>
          <w:rFonts w:ascii="Arial" w:hAnsi="Arial" w:cs="Arial"/>
          <w:b/>
          <w:sz w:val="22"/>
          <w:szCs w:val="22"/>
        </w:rPr>
        <w:t>202</w:t>
      </w:r>
      <w:r w:rsidR="00A14180" w:rsidRPr="00A14180">
        <w:rPr>
          <w:rFonts w:ascii="Arial" w:hAnsi="Arial" w:cs="Arial"/>
          <w:b/>
          <w:sz w:val="22"/>
          <w:szCs w:val="22"/>
        </w:rPr>
        <w:t>4</w:t>
      </w:r>
      <w:r w:rsidRPr="00A14180">
        <w:rPr>
          <w:rFonts w:ascii="Arial" w:hAnsi="Arial" w:cs="Arial"/>
          <w:b/>
          <w:sz w:val="22"/>
          <w:szCs w:val="22"/>
        </w:rPr>
        <w:t xml:space="preserve"> RTP-SCS Update</w:t>
      </w:r>
    </w:p>
    <w:p w14:paraId="62A6431A" w14:textId="7A77F931" w:rsidR="003E60ED" w:rsidRDefault="00F247EC" w:rsidP="0042365B">
      <w:pPr>
        <w:tabs>
          <w:tab w:val="left" w:pos="0"/>
        </w:tabs>
        <w:ind w:left="180"/>
        <w:jc w:val="both"/>
        <w:rPr>
          <w:rFonts w:ascii="Arial" w:hAnsi="Arial" w:cs="Arial"/>
          <w:sz w:val="22"/>
          <w:szCs w:val="22"/>
        </w:rPr>
      </w:pPr>
      <w:r w:rsidRPr="00A14180">
        <w:rPr>
          <w:rFonts w:ascii="Arial" w:hAnsi="Arial" w:cs="Arial"/>
          <w:sz w:val="22"/>
          <w:szCs w:val="22"/>
        </w:rPr>
        <w:t xml:space="preserve">Under both federal and State law, BCAG must update its RTP every four years. The </w:t>
      </w:r>
      <w:r w:rsidR="00AE1B83" w:rsidRPr="00A14180">
        <w:rPr>
          <w:rFonts w:ascii="Arial" w:hAnsi="Arial" w:cs="Arial"/>
          <w:sz w:val="22"/>
          <w:szCs w:val="22"/>
        </w:rPr>
        <w:t>202</w:t>
      </w:r>
      <w:r w:rsidR="00A14180" w:rsidRPr="00A14180">
        <w:rPr>
          <w:rFonts w:ascii="Arial" w:hAnsi="Arial" w:cs="Arial"/>
          <w:sz w:val="22"/>
          <w:szCs w:val="22"/>
        </w:rPr>
        <w:t>4</w:t>
      </w:r>
      <w:r w:rsidR="00AE1B83" w:rsidRPr="00A14180">
        <w:rPr>
          <w:rFonts w:ascii="Arial" w:hAnsi="Arial" w:cs="Arial"/>
          <w:sz w:val="22"/>
          <w:szCs w:val="22"/>
        </w:rPr>
        <w:t xml:space="preserve"> </w:t>
      </w:r>
      <w:r w:rsidRPr="00A14180">
        <w:rPr>
          <w:rFonts w:ascii="Arial" w:hAnsi="Arial" w:cs="Arial"/>
          <w:sz w:val="22"/>
          <w:szCs w:val="22"/>
        </w:rPr>
        <w:t>RTP-SCS is the long-range planning, policy, action, and financial document for the Butte County Region.</w:t>
      </w:r>
      <w:r w:rsidR="00B3572C" w:rsidRPr="00A14180">
        <w:rPr>
          <w:rFonts w:ascii="Arial" w:hAnsi="Arial" w:cs="Arial"/>
          <w:sz w:val="22"/>
          <w:szCs w:val="22"/>
        </w:rPr>
        <w:t xml:space="preserve"> </w:t>
      </w:r>
      <w:r w:rsidRPr="00A14180">
        <w:rPr>
          <w:rFonts w:ascii="Arial" w:hAnsi="Arial" w:cs="Arial"/>
          <w:sz w:val="22"/>
          <w:szCs w:val="22"/>
        </w:rPr>
        <w:t xml:space="preserve">The RTP-SCS covers a </w:t>
      </w:r>
      <w:r w:rsidR="004151CC" w:rsidRPr="00A14180">
        <w:rPr>
          <w:rFonts w:ascii="Arial" w:hAnsi="Arial" w:cs="Arial"/>
          <w:sz w:val="22"/>
          <w:szCs w:val="22"/>
        </w:rPr>
        <w:t>2</w:t>
      </w:r>
      <w:r w:rsidR="00E9218B" w:rsidRPr="00A14180">
        <w:rPr>
          <w:rFonts w:ascii="Arial" w:hAnsi="Arial" w:cs="Arial"/>
          <w:sz w:val="22"/>
          <w:szCs w:val="22"/>
        </w:rPr>
        <w:t>0</w:t>
      </w:r>
      <w:r w:rsidRPr="00A14180">
        <w:rPr>
          <w:rFonts w:ascii="Arial" w:hAnsi="Arial" w:cs="Arial"/>
          <w:sz w:val="22"/>
          <w:szCs w:val="22"/>
        </w:rPr>
        <w:t>-year period from 20</w:t>
      </w:r>
      <w:r w:rsidR="00E9218B" w:rsidRPr="00A14180">
        <w:rPr>
          <w:rFonts w:ascii="Arial" w:hAnsi="Arial" w:cs="Arial"/>
          <w:sz w:val="22"/>
          <w:szCs w:val="22"/>
        </w:rPr>
        <w:t>2</w:t>
      </w:r>
      <w:r w:rsidR="00A14180" w:rsidRPr="00A14180">
        <w:rPr>
          <w:rFonts w:ascii="Arial" w:hAnsi="Arial" w:cs="Arial"/>
          <w:sz w:val="22"/>
          <w:szCs w:val="22"/>
        </w:rPr>
        <w:t>4</w:t>
      </w:r>
      <w:r w:rsidRPr="00A14180">
        <w:rPr>
          <w:rFonts w:ascii="Arial" w:hAnsi="Arial" w:cs="Arial"/>
          <w:sz w:val="22"/>
          <w:szCs w:val="22"/>
        </w:rPr>
        <w:t xml:space="preserve"> to </w:t>
      </w:r>
      <w:r w:rsidR="004151CC" w:rsidRPr="00A14180">
        <w:rPr>
          <w:rFonts w:ascii="Arial" w:hAnsi="Arial" w:cs="Arial"/>
          <w:sz w:val="22"/>
          <w:szCs w:val="22"/>
        </w:rPr>
        <w:t>204</w:t>
      </w:r>
      <w:r w:rsidR="00A14180" w:rsidRPr="00A14180">
        <w:rPr>
          <w:rFonts w:ascii="Arial" w:hAnsi="Arial" w:cs="Arial"/>
          <w:sz w:val="22"/>
          <w:szCs w:val="22"/>
        </w:rPr>
        <w:t>5</w:t>
      </w:r>
      <w:r w:rsidR="004151CC" w:rsidRPr="00A14180">
        <w:rPr>
          <w:rFonts w:ascii="Arial" w:hAnsi="Arial" w:cs="Arial"/>
          <w:sz w:val="22"/>
          <w:szCs w:val="22"/>
        </w:rPr>
        <w:t xml:space="preserve"> </w:t>
      </w:r>
      <w:r w:rsidRPr="00A14180">
        <w:rPr>
          <w:rFonts w:ascii="Arial" w:hAnsi="Arial" w:cs="Arial"/>
          <w:sz w:val="22"/>
          <w:szCs w:val="22"/>
        </w:rPr>
        <w:t>and is an update of the 20</w:t>
      </w:r>
      <w:r w:rsidR="00A14180" w:rsidRPr="00A14180">
        <w:rPr>
          <w:rFonts w:ascii="Arial" w:hAnsi="Arial" w:cs="Arial"/>
          <w:sz w:val="22"/>
          <w:szCs w:val="22"/>
        </w:rPr>
        <w:t>20</w:t>
      </w:r>
      <w:r w:rsidRPr="00A14180">
        <w:rPr>
          <w:rFonts w:ascii="Arial" w:hAnsi="Arial" w:cs="Arial"/>
          <w:sz w:val="22"/>
          <w:szCs w:val="22"/>
        </w:rPr>
        <w:t xml:space="preserve"> </w:t>
      </w:r>
      <w:r w:rsidR="00043944" w:rsidRPr="00A14180">
        <w:rPr>
          <w:rFonts w:ascii="Arial" w:hAnsi="Arial" w:cs="Arial"/>
          <w:sz w:val="22"/>
          <w:szCs w:val="22"/>
        </w:rPr>
        <w:t>R</w:t>
      </w:r>
      <w:r w:rsidRPr="00A14180">
        <w:rPr>
          <w:rFonts w:ascii="Arial" w:hAnsi="Arial" w:cs="Arial"/>
          <w:sz w:val="22"/>
          <w:szCs w:val="22"/>
        </w:rPr>
        <w:t>TP</w:t>
      </w:r>
      <w:r w:rsidR="00E9218B" w:rsidRPr="00A14180">
        <w:rPr>
          <w:rFonts w:ascii="Arial" w:hAnsi="Arial" w:cs="Arial"/>
          <w:sz w:val="22"/>
          <w:szCs w:val="22"/>
        </w:rPr>
        <w:t>-</w:t>
      </w:r>
      <w:r w:rsidRPr="00A14180">
        <w:rPr>
          <w:rFonts w:ascii="Arial" w:hAnsi="Arial" w:cs="Arial"/>
          <w:sz w:val="22"/>
          <w:szCs w:val="22"/>
        </w:rPr>
        <w:t>SCS. The RTP-SCS identifies the region’s transportation needs and issues and sets forth actions, programs, and projects to address those needs and issues.</w:t>
      </w:r>
      <w:r w:rsidR="00B3572C" w:rsidRPr="00A14180">
        <w:rPr>
          <w:rFonts w:ascii="Arial" w:hAnsi="Arial" w:cs="Arial"/>
          <w:sz w:val="22"/>
          <w:szCs w:val="22"/>
        </w:rPr>
        <w:t xml:space="preserve"> </w:t>
      </w:r>
      <w:r w:rsidRPr="00A14180">
        <w:rPr>
          <w:rFonts w:ascii="Arial" w:hAnsi="Arial" w:cs="Arial"/>
          <w:sz w:val="22"/>
          <w:szCs w:val="22"/>
        </w:rPr>
        <w:t xml:space="preserve">The RTP-SCS adopts policies, sets goals, and identifies financial resources to encourage and promote the safe and efficient management, operation, and development of a regional intermodal transportation system that would serve the mobility needs of goods and people. </w:t>
      </w:r>
      <w:r w:rsidR="00B3572C" w:rsidRPr="00A14180">
        <w:rPr>
          <w:rFonts w:ascii="Arial" w:hAnsi="Arial" w:cs="Arial"/>
          <w:sz w:val="22"/>
          <w:szCs w:val="22"/>
        </w:rPr>
        <w:t>As described above,</w:t>
      </w:r>
      <w:r w:rsidRPr="00A14180">
        <w:rPr>
          <w:rFonts w:ascii="Arial" w:hAnsi="Arial" w:cs="Arial"/>
          <w:sz w:val="22"/>
          <w:szCs w:val="22"/>
        </w:rPr>
        <w:t xml:space="preserve"> BCAG does not propose any land use changes, but rather the land use patterns envisioned by the RTP-SCS are based on the General Plan land use and zoning designations of the local </w:t>
      </w:r>
      <w:r w:rsidR="0042365B" w:rsidRPr="00A14180">
        <w:rPr>
          <w:rFonts w:ascii="Arial" w:hAnsi="Arial" w:cs="Arial"/>
          <w:sz w:val="22"/>
          <w:szCs w:val="22"/>
        </w:rPr>
        <w:t>agencies (the five incorporated cities</w:t>
      </w:r>
      <w:r w:rsidR="0042365B" w:rsidRPr="0042365B">
        <w:rPr>
          <w:rFonts w:ascii="Arial" w:hAnsi="Arial" w:cs="Arial"/>
          <w:sz w:val="22"/>
          <w:szCs w:val="22"/>
        </w:rPr>
        <w:t xml:space="preserve"> </w:t>
      </w:r>
      <w:r w:rsidR="0042365B" w:rsidRPr="00A14180">
        <w:rPr>
          <w:rFonts w:ascii="Arial" w:hAnsi="Arial" w:cs="Arial"/>
          <w:sz w:val="22"/>
          <w:szCs w:val="22"/>
        </w:rPr>
        <w:t>and the county).</w:t>
      </w:r>
      <w:r w:rsidR="0042365B">
        <w:rPr>
          <w:rFonts w:ascii="Arial" w:hAnsi="Arial" w:cs="Arial"/>
          <w:sz w:val="22"/>
          <w:szCs w:val="22"/>
        </w:rPr>
        <w:t xml:space="preserve"> </w:t>
      </w:r>
      <w:r w:rsidR="0042365B" w:rsidRPr="00A14180">
        <w:rPr>
          <w:rFonts w:ascii="Arial" w:hAnsi="Arial" w:cs="Arial"/>
          <w:sz w:val="22"/>
          <w:szCs w:val="22"/>
        </w:rPr>
        <w:t>The RTP-SCS would be consistent with the land use and zoning designations</w:t>
      </w:r>
      <w:r w:rsidR="0042365B">
        <w:rPr>
          <w:rFonts w:ascii="Arial" w:hAnsi="Arial" w:cs="Arial"/>
          <w:sz w:val="22"/>
          <w:szCs w:val="22"/>
        </w:rPr>
        <w:t>.</w:t>
      </w:r>
    </w:p>
    <w:p w14:paraId="1F298D71" w14:textId="77777777" w:rsidR="003E60ED" w:rsidRDefault="003E60ED" w:rsidP="0042365B">
      <w:pPr>
        <w:tabs>
          <w:tab w:val="left" w:pos="0"/>
        </w:tabs>
        <w:ind w:left="180"/>
        <w:jc w:val="both"/>
        <w:rPr>
          <w:rFonts w:ascii="Arial" w:hAnsi="Arial" w:cs="Arial"/>
          <w:sz w:val="22"/>
          <w:szCs w:val="22"/>
        </w:rPr>
      </w:pPr>
    </w:p>
    <w:p w14:paraId="39922F73" w14:textId="77777777" w:rsidR="003E60ED" w:rsidRDefault="003E60ED" w:rsidP="0042365B">
      <w:pPr>
        <w:tabs>
          <w:tab w:val="left" w:pos="0"/>
        </w:tabs>
        <w:spacing w:before="480"/>
        <w:ind w:left="180"/>
        <w:jc w:val="both"/>
        <w:rPr>
          <w:rFonts w:ascii="Arial" w:hAnsi="Arial" w:cs="Arial"/>
          <w:sz w:val="22"/>
          <w:szCs w:val="22"/>
        </w:rPr>
      </w:pPr>
    </w:p>
    <w:p w14:paraId="532282C8" w14:textId="54445B89" w:rsidR="00CE3657" w:rsidRPr="00DD60D5" w:rsidRDefault="00CE3657" w:rsidP="0042365B">
      <w:pPr>
        <w:spacing w:before="360" w:after="120"/>
        <w:ind w:left="180"/>
        <w:jc w:val="both"/>
        <w:rPr>
          <w:rFonts w:ascii="Arial" w:hAnsi="Arial" w:cs="Arial"/>
          <w:sz w:val="22"/>
          <w:szCs w:val="22"/>
        </w:rPr>
      </w:pPr>
      <w:r w:rsidRPr="00DD60D5">
        <w:rPr>
          <w:rFonts w:ascii="Arial" w:hAnsi="Arial" w:cs="Arial"/>
          <w:sz w:val="22"/>
          <w:szCs w:val="22"/>
        </w:rPr>
        <w:t>The 202</w:t>
      </w:r>
      <w:r w:rsidR="00A14180" w:rsidRPr="00DD60D5">
        <w:rPr>
          <w:rFonts w:ascii="Arial" w:hAnsi="Arial" w:cs="Arial"/>
          <w:sz w:val="22"/>
          <w:szCs w:val="22"/>
        </w:rPr>
        <w:t>4</w:t>
      </w:r>
      <w:r w:rsidRPr="00DD60D5">
        <w:rPr>
          <w:rFonts w:ascii="Arial" w:hAnsi="Arial" w:cs="Arial"/>
          <w:sz w:val="22"/>
          <w:szCs w:val="22"/>
        </w:rPr>
        <w:t xml:space="preserve"> RTP</w:t>
      </w:r>
      <w:r w:rsidR="00E9218B" w:rsidRPr="00DD60D5">
        <w:rPr>
          <w:rFonts w:ascii="Arial" w:hAnsi="Arial" w:cs="Arial"/>
          <w:sz w:val="22"/>
          <w:szCs w:val="22"/>
        </w:rPr>
        <w:t>-</w:t>
      </w:r>
      <w:r w:rsidRPr="00DD60D5">
        <w:rPr>
          <w:rFonts w:ascii="Arial" w:hAnsi="Arial" w:cs="Arial"/>
          <w:sz w:val="22"/>
          <w:szCs w:val="22"/>
        </w:rPr>
        <w:t xml:space="preserve">SCS reflects changes in legislative requirements, local land use policies, and resource constraints since the most recent RTP was adopted on December </w:t>
      </w:r>
      <w:r w:rsidR="00DD60D5" w:rsidRPr="00DD60D5">
        <w:rPr>
          <w:rFonts w:ascii="Arial" w:hAnsi="Arial" w:cs="Arial"/>
          <w:sz w:val="22"/>
          <w:szCs w:val="22"/>
        </w:rPr>
        <w:t>10</w:t>
      </w:r>
      <w:r w:rsidRPr="00DD60D5">
        <w:rPr>
          <w:rFonts w:ascii="Arial" w:hAnsi="Arial" w:cs="Arial"/>
          <w:sz w:val="22"/>
          <w:szCs w:val="22"/>
        </w:rPr>
        <w:t>, 20</w:t>
      </w:r>
      <w:r w:rsidR="00DD60D5" w:rsidRPr="00DD60D5">
        <w:rPr>
          <w:rFonts w:ascii="Arial" w:hAnsi="Arial" w:cs="Arial"/>
          <w:sz w:val="22"/>
          <w:szCs w:val="22"/>
        </w:rPr>
        <w:t>20</w:t>
      </w:r>
      <w:r w:rsidRPr="00DD60D5">
        <w:rPr>
          <w:rFonts w:ascii="Arial" w:hAnsi="Arial" w:cs="Arial"/>
          <w:sz w:val="22"/>
          <w:szCs w:val="22"/>
        </w:rPr>
        <w:t>. The 202</w:t>
      </w:r>
      <w:r w:rsidR="00DD60D5" w:rsidRPr="00DD60D5">
        <w:rPr>
          <w:rFonts w:ascii="Arial" w:hAnsi="Arial" w:cs="Arial"/>
          <w:sz w:val="22"/>
          <w:szCs w:val="22"/>
        </w:rPr>
        <w:t>4</w:t>
      </w:r>
      <w:r w:rsidRPr="00DD60D5">
        <w:rPr>
          <w:rFonts w:ascii="Arial" w:hAnsi="Arial" w:cs="Arial"/>
          <w:sz w:val="22"/>
          <w:szCs w:val="22"/>
        </w:rPr>
        <w:t xml:space="preserve"> update to the RTP</w:t>
      </w:r>
      <w:r w:rsidR="00AE1B83" w:rsidRPr="00DD60D5">
        <w:rPr>
          <w:rFonts w:ascii="Arial" w:hAnsi="Arial" w:cs="Arial"/>
          <w:sz w:val="22"/>
          <w:szCs w:val="22"/>
        </w:rPr>
        <w:t>-</w:t>
      </w:r>
      <w:r w:rsidRPr="00DD60D5">
        <w:rPr>
          <w:rFonts w:ascii="Arial" w:hAnsi="Arial" w:cs="Arial"/>
          <w:sz w:val="22"/>
          <w:szCs w:val="22"/>
        </w:rPr>
        <w:t xml:space="preserve"> SCS is focused on implementation of the 2016 RTP, with minor updates to ensure consistency with federal, state and local planning requirements. </w:t>
      </w:r>
      <w:bookmarkStart w:id="0" w:name="_Hlk148529951"/>
      <w:r w:rsidRPr="00DD60D5">
        <w:rPr>
          <w:rFonts w:ascii="Arial" w:hAnsi="Arial" w:cs="Arial"/>
          <w:sz w:val="22"/>
          <w:szCs w:val="22"/>
        </w:rPr>
        <w:t>The most notable changes that impact this RTP update include:</w:t>
      </w:r>
      <w:bookmarkEnd w:id="0"/>
    </w:p>
    <w:p w14:paraId="21D90636" w14:textId="09BDCF5B" w:rsidR="00B70248" w:rsidRPr="00463DF7" w:rsidRDefault="00B70248"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Update to the Regional Transportation Guidelines for MPOs by the California Transportation Commission.</w:t>
      </w:r>
    </w:p>
    <w:p w14:paraId="073D60E4" w14:textId="7005995A" w:rsidR="00B70248" w:rsidRPr="00463DF7" w:rsidRDefault="00B70248"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Consistency with the goals of the Climate Action Plan for Transportation Infrastructure (CAPTI) built from the Governor’s Executive Orders (EO) EO N-19-19 and N-79-20.</w:t>
      </w:r>
    </w:p>
    <w:p w14:paraId="6E00030D" w14:textId="71AFF583" w:rsidR="00CE3657" w:rsidRPr="00463DF7" w:rsidRDefault="00B70248"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 xml:space="preserve"> </w:t>
      </w:r>
      <w:r w:rsidR="00CE3657" w:rsidRPr="00463DF7">
        <w:rPr>
          <w:rFonts w:ascii="Arial" w:eastAsia="Calibri" w:hAnsi="Arial" w:cs="Arial"/>
          <w:sz w:val="22"/>
          <w:szCs w:val="22"/>
        </w:rPr>
        <w:t xml:space="preserve">California’s adoption of </w:t>
      </w:r>
      <w:r w:rsidRPr="00463DF7">
        <w:rPr>
          <w:rFonts w:ascii="Arial" w:eastAsia="Calibri" w:hAnsi="Arial" w:cs="Arial"/>
          <w:sz w:val="22"/>
          <w:szCs w:val="22"/>
        </w:rPr>
        <w:t xml:space="preserve">federal </w:t>
      </w:r>
      <w:r w:rsidR="00CE3657" w:rsidRPr="00463DF7">
        <w:rPr>
          <w:rFonts w:ascii="Arial" w:eastAsia="Calibri" w:hAnsi="Arial" w:cs="Arial"/>
          <w:sz w:val="22"/>
          <w:szCs w:val="22"/>
        </w:rPr>
        <w:t>performance measures and targets</w:t>
      </w:r>
      <w:r w:rsidRPr="00463DF7">
        <w:rPr>
          <w:rFonts w:ascii="Arial" w:eastAsia="Calibri" w:hAnsi="Arial" w:cs="Arial"/>
          <w:sz w:val="22"/>
          <w:szCs w:val="22"/>
        </w:rPr>
        <w:t xml:space="preserve"> </w:t>
      </w:r>
      <w:r w:rsidR="00CE3657" w:rsidRPr="00463DF7">
        <w:rPr>
          <w:rFonts w:ascii="Arial" w:eastAsia="Calibri" w:hAnsi="Arial" w:cs="Arial"/>
          <w:sz w:val="22"/>
          <w:szCs w:val="22"/>
        </w:rPr>
        <w:t>as required under the FAST Act transportation bill</w:t>
      </w:r>
      <w:r w:rsidRPr="00463DF7">
        <w:rPr>
          <w:rFonts w:ascii="Arial" w:eastAsia="Calibri" w:hAnsi="Arial" w:cs="Arial"/>
          <w:sz w:val="22"/>
          <w:szCs w:val="22"/>
        </w:rPr>
        <w:t xml:space="preserve"> and the Infrastructure Investment and Jobs Act (IIJA)</w:t>
      </w:r>
      <w:r w:rsidR="00CE3657" w:rsidRPr="00463DF7">
        <w:rPr>
          <w:rFonts w:ascii="Arial" w:eastAsia="Calibri" w:hAnsi="Arial" w:cs="Arial"/>
          <w:sz w:val="22"/>
          <w:szCs w:val="22"/>
        </w:rPr>
        <w:t xml:space="preserve">. </w:t>
      </w:r>
    </w:p>
    <w:p w14:paraId="1182061B" w14:textId="286B1501" w:rsidR="00CE3657" w:rsidRPr="00463DF7" w:rsidRDefault="00B70248"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Guidelines</w:t>
      </w:r>
      <w:r w:rsidR="00CE3657" w:rsidRPr="00463DF7">
        <w:rPr>
          <w:rFonts w:ascii="Arial" w:eastAsia="Calibri" w:hAnsi="Arial" w:cs="Arial"/>
          <w:sz w:val="22"/>
          <w:szCs w:val="22"/>
        </w:rPr>
        <w:t xml:space="preserve"> from the Governor’s Office of Planning and Research for SB 743 (Steinberg, 2013</w:t>
      </w:r>
      <w:proofErr w:type="gramStart"/>
      <w:r w:rsidR="00CE3657" w:rsidRPr="00463DF7">
        <w:rPr>
          <w:rFonts w:ascii="Arial" w:eastAsia="Calibri" w:hAnsi="Arial" w:cs="Arial"/>
          <w:sz w:val="22"/>
          <w:szCs w:val="22"/>
        </w:rPr>
        <w:t>);</w:t>
      </w:r>
      <w:proofErr w:type="gramEnd"/>
    </w:p>
    <w:p w14:paraId="4431015D" w14:textId="77777777" w:rsidR="00CE3657" w:rsidRPr="00463DF7" w:rsidRDefault="00CE3657"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 xml:space="preserve">New funding for transportation projects through California’s recently approved Road Repair and Accountability Act of 2017 (SB 1) for the next ten </w:t>
      </w:r>
      <w:proofErr w:type="gramStart"/>
      <w:r w:rsidRPr="00463DF7">
        <w:rPr>
          <w:rFonts w:ascii="Arial" w:eastAsia="Calibri" w:hAnsi="Arial" w:cs="Arial"/>
          <w:sz w:val="22"/>
          <w:szCs w:val="22"/>
        </w:rPr>
        <w:t>years;</w:t>
      </w:r>
      <w:proofErr w:type="gramEnd"/>
    </w:p>
    <w:p w14:paraId="270E3889" w14:textId="77777777" w:rsidR="00CE3657" w:rsidRPr="00463DF7" w:rsidRDefault="00CE3657"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Minor updates to transportation projects and land use development (specifically focused on growth that has taken place since the last RTP); and</w:t>
      </w:r>
    </w:p>
    <w:p w14:paraId="679B9AE3" w14:textId="13FE777C" w:rsidR="00CE3657" w:rsidRPr="00463DF7" w:rsidRDefault="00CE3657"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Addition of components to the RTP to address freight and alternative fuel vehicles, including electric vehicles and autonomous vehicles.</w:t>
      </w:r>
    </w:p>
    <w:p w14:paraId="66C1047C" w14:textId="31BBA8FD" w:rsidR="00072970" w:rsidRPr="003E60ED" w:rsidRDefault="00B70248" w:rsidP="0042365B">
      <w:pPr>
        <w:numPr>
          <w:ilvl w:val="0"/>
          <w:numId w:val="5"/>
        </w:numPr>
        <w:spacing w:after="160" w:line="256" w:lineRule="auto"/>
        <w:ind w:hanging="540"/>
        <w:contextualSpacing/>
        <w:jc w:val="both"/>
        <w:rPr>
          <w:rFonts w:ascii="Arial" w:eastAsia="Calibri" w:hAnsi="Arial" w:cs="Arial"/>
          <w:sz w:val="22"/>
          <w:szCs w:val="22"/>
        </w:rPr>
      </w:pPr>
      <w:r w:rsidRPr="00463DF7">
        <w:rPr>
          <w:rFonts w:ascii="Arial" w:eastAsia="Calibri" w:hAnsi="Arial" w:cs="Arial"/>
          <w:sz w:val="22"/>
          <w:szCs w:val="22"/>
        </w:rPr>
        <w:t>Increase in funding from the Transit and Intercity Rail Capital Program</w:t>
      </w:r>
    </w:p>
    <w:sectPr w:rsidR="00072970" w:rsidRPr="003E60ED" w:rsidSect="00D96D3E">
      <w:footerReference w:type="default" r:id="rId8"/>
      <w:pgSz w:w="12240" w:h="16340"/>
      <w:pgMar w:top="90" w:right="990" w:bottom="350" w:left="718" w:header="1296"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9A137" w14:textId="77777777" w:rsidR="00CC26CD" w:rsidRDefault="00CC26CD" w:rsidP="00CC26CD">
      <w:r>
        <w:separator/>
      </w:r>
    </w:p>
  </w:endnote>
  <w:endnote w:type="continuationSeparator" w:id="0">
    <w:p w14:paraId="7E376655" w14:textId="77777777" w:rsidR="00CC26CD" w:rsidRDefault="00CC26CD" w:rsidP="00CC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otic 35 0 BT">
    <w:altName w:val="Cambria"/>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C7F6" w14:textId="0C5FC686" w:rsidR="00CC26CD" w:rsidRPr="00CC26CD" w:rsidRDefault="00CC26CD">
    <w:pPr>
      <w:pStyle w:val="Footer"/>
      <w:rPr>
        <w:color w:val="003563"/>
      </w:rPr>
    </w:pPr>
    <w:r w:rsidRPr="00CC26CD">
      <w:rPr>
        <w:color w:val="003563"/>
      </w:rPr>
      <w:t>B</w:t>
    </w:r>
    <w:r>
      <w:rPr>
        <w:color w:val="003563"/>
      </w:rPr>
      <w:t xml:space="preserve">utte </w:t>
    </w:r>
    <w:r w:rsidR="00063493">
      <w:rPr>
        <w:color w:val="003563"/>
      </w:rPr>
      <w:t>County Association of Governments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539BB" w14:textId="77777777" w:rsidR="00CC26CD" w:rsidRDefault="00CC26CD" w:rsidP="00CC26CD">
      <w:r>
        <w:separator/>
      </w:r>
    </w:p>
  </w:footnote>
  <w:footnote w:type="continuationSeparator" w:id="0">
    <w:p w14:paraId="75ED361B" w14:textId="77777777" w:rsidR="00CC26CD" w:rsidRDefault="00CC26CD" w:rsidP="00CC26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30149"/>
    <w:multiLevelType w:val="hybridMultilevel"/>
    <w:tmpl w:val="06E616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AC21D2"/>
    <w:multiLevelType w:val="hybridMultilevel"/>
    <w:tmpl w:val="360CEC8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91C2B1E"/>
    <w:multiLevelType w:val="hybridMultilevel"/>
    <w:tmpl w:val="8E1C5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351449E"/>
    <w:multiLevelType w:val="hybridMultilevel"/>
    <w:tmpl w:val="6856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883485"/>
    <w:multiLevelType w:val="hybridMultilevel"/>
    <w:tmpl w:val="24D8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D67A8A"/>
    <w:multiLevelType w:val="hybridMultilevel"/>
    <w:tmpl w:val="124C5608"/>
    <w:lvl w:ilvl="0" w:tplc="5162890C">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416289321">
    <w:abstractNumId w:val="0"/>
  </w:num>
  <w:num w:numId="2" w16cid:durableId="1698238431">
    <w:abstractNumId w:val="5"/>
  </w:num>
  <w:num w:numId="3" w16cid:durableId="823475783">
    <w:abstractNumId w:val="3"/>
  </w:num>
  <w:num w:numId="4" w16cid:durableId="1966350957">
    <w:abstractNumId w:val="4"/>
  </w:num>
  <w:num w:numId="5" w16cid:durableId="1088230224">
    <w:abstractNumId w:val="2"/>
  </w:num>
  <w:num w:numId="6" w16cid:durableId="1053773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CD"/>
    <w:rsid w:val="0003165D"/>
    <w:rsid w:val="00034E86"/>
    <w:rsid w:val="00036A97"/>
    <w:rsid w:val="00043944"/>
    <w:rsid w:val="0004676E"/>
    <w:rsid w:val="00063493"/>
    <w:rsid w:val="00072970"/>
    <w:rsid w:val="000A5654"/>
    <w:rsid w:val="000B6450"/>
    <w:rsid w:val="000C05CA"/>
    <w:rsid w:val="001175DE"/>
    <w:rsid w:val="00130E67"/>
    <w:rsid w:val="00170352"/>
    <w:rsid w:val="001C4F65"/>
    <w:rsid w:val="001D1A8D"/>
    <w:rsid w:val="002B3C33"/>
    <w:rsid w:val="002C0F4A"/>
    <w:rsid w:val="002E041F"/>
    <w:rsid w:val="002F56D1"/>
    <w:rsid w:val="003A5557"/>
    <w:rsid w:val="003E20A3"/>
    <w:rsid w:val="003E60ED"/>
    <w:rsid w:val="003F0827"/>
    <w:rsid w:val="00410517"/>
    <w:rsid w:val="004151CC"/>
    <w:rsid w:val="0042365B"/>
    <w:rsid w:val="00463DF7"/>
    <w:rsid w:val="00482E09"/>
    <w:rsid w:val="004B2634"/>
    <w:rsid w:val="004E157B"/>
    <w:rsid w:val="004E4188"/>
    <w:rsid w:val="004E4DC1"/>
    <w:rsid w:val="004F6AEA"/>
    <w:rsid w:val="00501271"/>
    <w:rsid w:val="005417A1"/>
    <w:rsid w:val="0055794A"/>
    <w:rsid w:val="005B20C7"/>
    <w:rsid w:val="005D38C0"/>
    <w:rsid w:val="005F08DC"/>
    <w:rsid w:val="006040DE"/>
    <w:rsid w:val="006344BD"/>
    <w:rsid w:val="0065273C"/>
    <w:rsid w:val="0065408D"/>
    <w:rsid w:val="00697D52"/>
    <w:rsid w:val="006B4222"/>
    <w:rsid w:val="006E57BB"/>
    <w:rsid w:val="0072143E"/>
    <w:rsid w:val="00741AF6"/>
    <w:rsid w:val="0074521D"/>
    <w:rsid w:val="00771007"/>
    <w:rsid w:val="0079156D"/>
    <w:rsid w:val="007A7E8B"/>
    <w:rsid w:val="007B1BA8"/>
    <w:rsid w:val="008242FA"/>
    <w:rsid w:val="00872DE0"/>
    <w:rsid w:val="008767DA"/>
    <w:rsid w:val="008818DC"/>
    <w:rsid w:val="008E23B0"/>
    <w:rsid w:val="008F5744"/>
    <w:rsid w:val="00907D3C"/>
    <w:rsid w:val="009A55F2"/>
    <w:rsid w:val="009A7F1F"/>
    <w:rsid w:val="009D6F36"/>
    <w:rsid w:val="00A038CC"/>
    <w:rsid w:val="00A14180"/>
    <w:rsid w:val="00A772F4"/>
    <w:rsid w:val="00A97974"/>
    <w:rsid w:val="00AC74E5"/>
    <w:rsid w:val="00AE1B83"/>
    <w:rsid w:val="00B02309"/>
    <w:rsid w:val="00B107B5"/>
    <w:rsid w:val="00B3572C"/>
    <w:rsid w:val="00B70248"/>
    <w:rsid w:val="00B733AC"/>
    <w:rsid w:val="00B90D7B"/>
    <w:rsid w:val="00C2178B"/>
    <w:rsid w:val="00C5320E"/>
    <w:rsid w:val="00CA6CCF"/>
    <w:rsid w:val="00CC26CD"/>
    <w:rsid w:val="00CE2712"/>
    <w:rsid w:val="00CE3657"/>
    <w:rsid w:val="00CE6B29"/>
    <w:rsid w:val="00D17B12"/>
    <w:rsid w:val="00D27121"/>
    <w:rsid w:val="00D72B42"/>
    <w:rsid w:val="00D96D3E"/>
    <w:rsid w:val="00DA7C86"/>
    <w:rsid w:val="00DD60D5"/>
    <w:rsid w:val="00DE00D0"/>
    <w:rsid w:val="00DF6B1B"/>
    <w:rsid w:val="00E338CC"/>
    <w:rsid w:val="00E64CAC"/>
    <w:rsid w:val="00E70C96"/>
    <w:rsid w:val="00E86132"/>
    <w:rsid w:val="00E870F7"/>
    <w:rsid w:val="00E9218B"/>
    <w:rsid w:val="00EB0699"/>
    <w:rsid w:val="00EE31D8"/>
    <w:rsid w:val="00F247EC"/>
    <w:rsid w:val="00F85FCF"/>
    <w:rsid w:val="00F945BB"/>
    <w:rsid w:val="00FC191C"/>
    <w:rsid w:val="00FF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18E7AF8B"/>
  <w15:docId w15:val="{8F62E701-A127-4143-8081-63D7B9C5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Exotic 35 0 BT" w:hAnsi="Exotic 35 0 BT" w:cs="Exotic 35 0 BT"/>
      <w:color w:val="000000"/>
      <w:sz w:val="24"/>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color w:val="003563"/>
      <w:sz w:val="20"/>
    </w:rPr>
  </w:style>
  <w:style w:type="character" w:customStyle="1" w:styleId="A1">
    <w:name w:val="A1"/>
    <w:uiPriority w:val="99"/>
    <w:rPr>
      <w:rFonts w:ascii="Wingdings" w:hAnsi="Wingdings"/>
      <w:color w:val="003563"/>
      <w:sz w:val="7"/>
    </w:rPr>
  </w:style>
  <w:style w:type="character" w:styleId="Hyperlink">
    <w:name w:val="Hyperlink"/>
    <w:unhideWhenUsed/>
    <w:rsid w:val="00A772F4"/>
    <w:rPr>
      <w:color w:val="0000FF"/>
      <w:u w:val="single"/>
    </w:rPr>
  </w:style>
  <w:style w:type="paragraph" w:styleId="Header">
    <w:name w:val="header"/>
    <w:basedOn w:val="Normal"/>
    <w:link w:val="HeaderChar"/>
    <w:uiPriority w:val="99"/>
    <w:unhideWhenUsed/>
    <w:rsid w:val="00CC26CD"/>
    <w:pPr>
      <w:tabs>
        <w:tab w:val="center" w:pos="4680"/>
        <w:tab w:val="right" w:pos="9360"/>
      </w:tabs>
    </w:pPr>
  </w:style>
  <w:style w:type="character" w:customStyle="1" w:styleId="HeaderChar">
    <w:name w:val="Header Char"/>
    <w:basedOn w:val="DefaultParagraphFont"/>
    <w:link w:val="Header"/>
    <w:uiPriority w:val="99"/>
    <w:rsid w:val="00CC26CD"/>
  </w:style>
  <w:style w:type="paragraph" w:styleId="Footer">
    <w:name w:val="footer"/>
    <w:basedOn w:val="Normal"/>
    <w:link w:val="FooterChar"/>
    <w:uiPriority w:val="99"/>
    <w:unhideWhenUsed/>
    <w:rsid w:val="00CC26CD"/>
    <w:pPr>
      <w:tabs>
        <w:tab w:val="center" w:pos="4680"/>
        <w:tab w:val="right" w:pos="9360"/>
      </w:tabs>
    </w:pPr>
  </w:style>
  <w:style w:type="character" w:customStyle="1" w:styleId="FooterChar">
    <w:name w:val="Footer Char"/>
    <w:basedOn w:val="DefaultParagraphFont"/>
    <w:link w:val="Footer"/>
    <w:uiPriority w:val="99"/>
    <w:rsid w:val="00CC26CD"/>
  </w:style>
  <w:style w:type="paragraph" w:styleId="BodyText">
    <w:name w:val="Body Text"/>
    <w:basedOn w:val="Normal"/>
    <w:link w:val="BodyTextChar"/>
    <w:rsid w:val="00072970"/>
    <w:pPr>
      <w:spacing w:after="220" w:line="180" w:lineRule="atLeast"/>
      <w:ind w:left="835"/>
      <w:jc w:val="both"/>
    </w:pPr>
    <w:rPr>
      <w:rFonts w:ascii="Arial" w:hAnsi="Arial"/>
      <w:spacing w:val="-5"/>
    </w:rPr>
  </w:style>
  <w:style w:type="character" w:customStyle="1" w:styleId="BodyTextChar">
    <w:name w:val="Body Text Char"/>
    <w:basedOn w:val="DefaultParagraphFont"/>
    <w:link w:val="BodyText"/>
    <w:rsid w:val="00072970"/>
    <w:rPr>
      <w:rFonts w:ascii="Arial" w:hAnsi="Arial"/>
      <w:spacing w:val="-5"/>
    </w:rPr>
  </w:style>
  <w:style w:type="character" w:styleId="Emphasis">
    <w:name w:val="Emphasis"/>
    <w:qFormat/>
    <w:rsid w:val="00072970"/>
    <w:rPr>
      <w:rFonts w:ascii="Arial Black" w:hAnsi="Arial Black"/>
      <w:sz w:val="18"/>
    </w:rPr>
  </w:style>
  <w:style w:type="paragraph" w:styleId="BalloonText">
    <w:name w:val="Balloon Text"/>
    <w:basedOn w:val="Normal"/>
    <w:link w:val="BalloonTextChar"/>
    <w:uiPriority w:val="99"/>
    <w:semiHidden/>
    <w:unhideWhenUsed/>
    <w:rsid w:val="005F08DC"/>
    <w:rPr>
      <w:rFonts w:ascii="Tahoma" w:hAnsi="Tahoma" w:cs="Tahoma"/>
      <w:sz w:val="16"/>
      <w:szCs w:val="16"/>
    </w:rPr>
  </w:style>
  <w:style w:type="character" w:customStyle="1" w:styleId="BalloonTextChar">
    <w:name w:val="Balloon Text Char"/>
    <w:basedOn w:val="DefaultParagraphFont"/>
    <w:link w:val="BalloonText"/>
    <w:uiPriority w:val="99"/>
    <w:semiHidden/>
    <w:rsid w:val="005F08DC"/>
    <w:rPr>
      <w:rFonts w:ascii="Tahoma" w:hAnsi="Tahoma" w:cs="Tahoma"/>
      <w:sz w:val="16"/>
      <w:szCs w:val="16"/>
    </w:rPr>
  </w:style>
  <w:style w:type="character" w:styleId="CommentReference">
    <w:name w:val="annotation reference"/>
    <w:basedOn w:val="DefaultParagraphFont"/>
    <w:uiPriority w:val="99"/>
    <w:semiHidden/>
    <w:unhideWhenUsed/>
    <w:rsid w:val="002F56D1"/>
    <w:rPr>
      <w:sz w:val="16"/>
      <w:szCs w:val="16"/>
    </w:rPr>
  </w:style>
  <w:style w:type="paragraph" w:styleId="CommentText">
    <w:name w:val="annotation text"/>
    <w:basedOn w:val="Normal"/>
    <w:link w:val="CommentTextChar"/>
    <w:uiPriority w:val="99"/>
    <w:unhideWhenUsed/>
    <w:rsid w:val="002F56D1"/>
  </w:style>
  <w:style w:type="character" w:customStyle="1" w:styleId="CommentTextChar">
    <w:name w:val="Comment Text Char"/>
    <w:basedOn w:val="DefaultParagraphFont"/>
    <w:link w:val="CommentText"/>
    <w:uiPriority w:val="99"/>
    <w:rsid w:val="002F56D1"/>
  </w:style>
  <w:style w:type="paragraph" w:styleId="CommentSubject">
    <w:name w:val="annotation subject"/>
    <w:basedOn w:val="CommentText"/>
    <w:next w:val="CommentText"/>
    <w:link w:val="CommentSubjectChar"/>
    <w:uiPriority w:val="99"/>
    <w:semiHidden/>
    <w:unhideWhenUsed/>
    <w:rsid w:val="002F56D1"/>
    <w:rPr>
      <w:b/>
      <w:bCs/>
    </w:rPr>
  </w:style>
  <w:style w:type="character" w:customStyle="1" w:styleId="CommentSubjectChar">
    <w:name w:val="Comment Subject Char"/>
    <w:basedOn w:val="CommentTextChar"/>
    <w:link w:val="CommentSubject"/>
    <w:uiPriority w:val="99"/>
    <w:semiHidden/>
    <w:rsid w:val="002F56D1"/>
    <w:rPr>
      <w:b/>
      <w:bCs/>
    </w:rPr>
  </w:style>
  <w:style w:type="character" w:styleId="FollowedHyperlink">
    <w:name w:val="FollowedHyperlink"/>
    <w:basedOn w:val="DefaultParagraphFont"/>
    <w:uiPriority w:val="99"/>
    <w:semiHidden/>
    <w:unhideWhenUsed/>
    <w:rsid w:val="0065273C"/>
    <w:rPr>
      <w:color w:val="800080" w:themeColor="followedHyperlink"/>
      <w:u w:val="single"/>
    </w:rPr>
  </w:style>
  <w:style w:type="paragraph" w:styleId="ListParagraph">
    <w:name w:val="List Paragraph"/>
    <w:basedOn w:val="Normal"/>
    <w:uiPriority w:val="34"/>
    <w:qFormat/>
    <w:rsid w:val="00EE31D8"/>
    <w:pPr>
      <w:ind w:left="720"/>
      <w:contextualSpacing/>
    </w:pPr>
  </w:style>
  <w:style w:type="character" w:styleId="UnresolvedMention">
    <w:name w:val="Unresolved Mention"/>
    <w:basedOn w:val="DefaultParagraphFont"/>
    <w:uiPriority w:val="99"/>
    <w:semiHidden/>
    <w:unhideWhenUsed/>
    <w:rsid w:val="00A14180"/>
    <w:rPr>
      <w:color w:val="605E5C"/>
      <w:shd w:val="clear" w:color="auto" w:fill="E1DFDD"/>
    </w:rPr>
  </w:style>
  <w:style w:type="paragraph" w:styleId="Revision">
    <w:name w:val="Revision"/>
    <w:hidden/>
    <w:uiPriority w:val="99"/>
    <w:semiHidden/>
    <w:rsid w:val="00DE0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81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5711</CharactersWithSpaces>
  <SharedDoc>false</SharedDoc>
  <HLinks>
    <vt:vector size="6" baseType="variant">
      <vt:variant>
        <vt:i4>2687006</vt:i4>
      </vt:variant>
      <vt:variant>
        <vt:i4>0</vt:i4>
      </vt:variant>
      <vt:variant>
        <vt:i4>0</vt:i4>
      </vt:variant>
      <vt:variant>
        <vt:i4>5</vt:i4>
      </vt:variant>
      <vt:variant>
        <vt:lpwstr>mailto:cmassae@bcag.org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Narvaez</dc:creator>
  <cp:keywords/>
  <dc:description/>
  <cp:lastModifiedBy>Nik Kilpelainen</cp:lastModifiedBy>
  <cp:revision>4</cp:revision>
  <cp:lastPrinted>2023-10-30T18:02:00Z</cp:lastPrinted>
  <dcterms:created xsi:type="dcterms:W3CDTF">2023-11-01T16:34:00Z</dcterms:created>
  <dcterms:modified xsi:type="dcterms:W3CDTF">2023-11-06T18:30:00Z</dcterms:modified>
</cp:coreProperties>
</file>